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23" w:rsidRDefault="00BE0023">
      <w:pPr>
        <w:widowControl w:val="0"/>
        <w:autoSpaceDE w:val="0"/>
        <w:autoSpaceDN w:val="0"/>
        <w:adjustRightInd w:val="0"/>
        <w:spacing w:before="120" w:after="120" w:line="480" w:lineRule="exact"/>
        <w:jc w:val="center"/>
        <w:rPr>
          <w:b/>
          <w:bCs/>
          <w:sz w:val="28"/>
          <w:szCs w:val="28"/>
        </w:rPr>
      </w:pPr>
      <w:r w:rsidRPr="003E75B7">
        <w:rPr>
          <w:b/>
          <w:bCs/>
          <w:sz w:val="28"/>
          <w:szCs w:val="28"/>
        </w:rPr>
        <w:t xml:space="preserve">ALLEGATO </w:t>
      </w:r>
      <w:r>
        <w:rPr>
          <w:b/>
          <w:bCs/>
          <w:sz w:val="28"/>
          <w:szCs w:val="28"/>
        </w:rPr>
        <w:t>D BIS</w:t>
      </w:r>
      <w:r w:rsidRPr="00BE0023">
        <w:rPr>
          <w:b/>
          <w:bCs/>
          <w:sz w:val="28"/>
          <w:szCs w:val="28"/>
        </w:rPr>
        <w:t xml:space="preserve"> </w:t>
      </w:r>
    </w:p>
    <w:p w:rsidR="00CD2796" w:rsidRDefault="00BE0023">
      <w:pPr>
        <w:widowControl w:val="0"/>
        <w:autoSpaceDE w:val="0"/>
        <w:autoSpaceDN w:val="0"/>
        <w:adjustRightInd w:val="0"/>
        <w:spacing w:before="120" w:after="120" w:line="480" w:lineRule="exact"/>
        <w:jc w:val="center"/>
        <w:rPr>
          <w:b/>
          <w:bCs/>
          <w:sz w:val="28"/>
          <w:szCs w:val="28"/>
        </w:rPr>
      </w:pPr>
      <w:r w:rsidRPr="00BE0023">
        <w:rPr>
          <w:b/>
          <w:bCs/>
          <w:sz w:val="28"/>
          <w:szCs w:val="28"/>
        </w:rPr>
        <w:t xml:space="preserve">DICHIARAZIONE INTEGRATIVA AL DGUE ART.80, COMMI 1, 2, 3, 4 E 5 DEL CODICE </w:t>
      </w:r>
    </w:p>
    <w:p w:rsidR="00603EF6" w:rsidRDefault="00603EF6">
      <w:pPr>
        <w:widowControl w:val="0"/>
        <w:autoSpaceDE w:val="0"/>
        <w:autoSpaceDN w:val="0"/>
        <w:adjustRightInd w:val="0"/>
        <w:spacing w:before="120" w:after="120" w:line="480" w:lineRule="exact"/>
        <w:jc w:val="center"/>
        <w:rPr>
          <w:b/>
          <w:sz w:val="28"/>
          <w:szCs w:val="28"/>
        </w:rPr>
      </w:pPr>
    </w:p>
    <w:p w:rsidR="00AA702E" w:rsidRPr="0046688E" w:rsidRDefault="00AA702E" w:rsidP="00AA702E">
      <w:pPr>
        <w:spacing w:line="490" w:lineRule="exact"/>
        <w:jc w:val="both"/>
      </w:pPr>
    </w:p>
    <w:p w:rsidR="00E31087" w:rsidRDefault="00AA702E"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rsidR="00E31087">
        <w:t xml:space="preserve">. </w:t>
      </w:r>
      <w:r>
        <w:rPr>
          <w:b/>
        </w:rPr>
        <w:t xml:space="preserve">dichiara </w:t>
      </w:r>
    </w:p>
    <w:p w:rsidR="00E31087" w:rsidRDefault="00E31087" w:rsidP="00AA702E">
      <w:pPr>
        <w:spacing w:line="490" w:lineRule="exact"/>
        <w:jc w:val="both"/>
        <w:rPr>
          <w:b/>
        </w:rPr>
      </w:pPr>
    </w:p>
    <w:p w:rsidR="00E31087" w:rsidRDefault="00E31087" w:rsidP="00AA702E">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t xml:space="preserve">. </w:t>
      </w:r>
      <w:r>
        <w:rPr>
          <w:b/>
        </w:rPr>
        <w:t xml:space="preserve">dichiara </w:t>
      </w:r>
    </w:p>
    <w:p w:rsidR="00444FC1" w:rsidRDefault="00444FC1" w:rsidP="00AA702E">
      <w:pPr>
        <w:spacing w:line="490" w:lineRule="exact"/>
        <w:jc w:val="both"/>
        <w:rPr>
          <w:b/>
        </w:rPr>
      </w:pPr>
    </w:p>
    <w:p w:rsidR="00444FC1" w:rsidRDefault="00444FC1" w:rsidP="00444FC1">
      <w:pPr>
        <w:spacing w:line="490" w:lineRule="exact"/>
        <w:jc w:val="both"/>
        <w:rPr>
          <w:b/>
        </w:rPr>
      </w:pPr>
      <w:r w:rsidRPr="0046688E">
        <w:t>Il sottoscritto ……………………………. nato a ……………</w:t>
      </w:r>
      <w:proofErr w:type="gramStart"/>
      <w:r w:rsidRPr="0046688E">
        <w:t>…….</w:t>
      </w:r>
      <w:proofErr w:type="gramEnd"/>
      <w:r w:rsidRPr="0046688E">
        <w:t>., residente a ……………….………., via ………………………… n…………….. in qualità di legale rappresentante dell’offerente…………………………………………………………</w:t>
      </w:r>
      <w:proofErr w:type="gramStart"/>
      <w:r w:rsidRPr="0046688E">
        <w:t>…….</w:t>
      </w:r>
      <w:proofErr w:type="gramEnd"/>
      <w:r w:rsidRPr="0046688E">
        <w:t xml:space="preserve"> </w:t>
      </w:r>
      <w:r>
        <w:t xml:space="preserve">. </w:t>
      </w:r>
      <w:r>
        <w:rPr>
          <w:b/>
        </w:rPr>
        <w:t xml:space="preserve">dichiara </w:t>
      </w:r>
    </w:p>
    <w:p w:rsidR="00444FC1" w:rsidRDefault="00444FC1" w:rsidP="00444FC1">
      <w:pPr>
        <w:spacing w:line="490" w:lineRule="exact"/>
        <w:jc w:val="both"/>
        <w:rPr>
          <w:b/>
        </w:rPr>
      </w:pPr>
    </w:p>
    <w:p w:rsidR="00E31087" w:rsidRDefault="00E31087" w:rsidP="00AA702E">
      <w:pPr>
        <w:spacing w:line="490" w:lineRule="exact"/>
        <w:jc w:val="both"/>
        <w:rPr>
          <w:b/>
        </w:rPr>
      </w:pPr>
    </w:p>
    <w:p w:rsidR="00F86BDD" w:rsidRPr="00AA702E" w:rsidRDefault="00AA702E" w:rsidP="00AA702E">
      <w:pPr>
        <w:spacing w:line="490" w:lineRule="exact"/>
        <w:jc w:val="both"/>
      </w:pPr>
      <w:r w:rsidRPr="00E31087">
        <w:rPr>
          <w:b/>
        </w:rPr>
        <w:t>l’insussistenza</w:t>
      </w:r>
      <w:r w:rsidRPr="00AA702E">
        <w:t xml:space="preserve"> delle cause di esclusione di ordine generale di cui all'art. 80, commi 1, 2, 3, 4 e 5, d.lgs.  50/2016</w:t>
      </w:r>
      <w:r>
        <w:rPr>
          <w:rStyle w:val="Rimandonotaapidipagina"/>
        </w:rPr>
        <w:footnoteReference w:id="1"/>
      </w:r>
      <w:r>
        <w:t>.</w:t>
      </w:r>
    </w:p>
    <w:p w:rsidR="008F4288" w:rsidRPr="00820487" w:rsidRDefault="008F4288" w:rsidP="00820487">
      <w:pPr>
        <w:spacing w:line="490" w:lineRule="exact"/>
        <w:jc w:val="both"/>
      </w:pPr>
      <w:r w:rsidRPr="00820487">
        <w:rPr>
          <w:iCs/>
        </w:rPr>
        <w:lastRenderedPageBreak/>
        <w:t xml:space="preserve">Se più operatori economici compartecipano alla procedura di appalto sotto forma di </w:t>
      </w:r>
      <w:r w:rsidR="00BE0023" w:rsidRPr="00BE0023">
        <w:rPr>
          <w:iCs/>
        </w:rPr>
        <w:t>“</w:t>
      </w:r>
      <w:r w:rsidRPr="00BE0023">
        <w:rPr>
          <w:iCs/>
        </w:rPr>
        <w:t>soggetto gruppo</w:t>
      </w:r>
      <w:r w:rsidR="00BE0023" w:rsidRPr="00BE0023">
        <w:rPr>
          <w:iCs/>
        </w:rPr>
        <w:t>”</w:t>
      </w:r>
      <w:r w:rsidRPr="00BE0023">
        <w:rPr>
          <w:iCs/>
        </w:rPr>
        <w:t xml:space="preserve"> costituendo </w:t>
      </w:r>
      <w:r w:rsidR="00E31087" w:rsidRPr="00BE0023">
        <w:rPr>
          <w:iCs/>
        </w:rPr>
        <w:t xml:space="preserve">o già costituito </w:t>
      </w:r>
      <w:r w:rsidRPr="00BE0023">
        <w:rPr>
          <w:iCs/>
        </w:rPr>
        <w:t>(intendendosi per tale i soggetti ex art.</w:t>
      </w:r>
      <w:r w:rsidR="00CD2796" w:rsidRPr="00BE0023">
        <w:rPr>
          <w:iCs/>
        </w:rPr>
        <w:t xml:space="preserve"> </w:t>
      </w:r>
      <w:r w:rsidRPr="00BE0023">
        <w:rPr>
          <w:iCs/>
        </w:rPr>
        <w:t>45, comma 2, lett. d),</w:t>
      </w:r>
      <w:r w:rsidRPr="00820487">
        <w:rPr>
          <w:iCs/>
        </w:rPr>
        <w:t xml:space="preserve"> e), f), g), </w:t>
      </w:r>
      <w:r w:rsidR="004124C0" w:rsidRPr="00820487">
        <w:rPr>
          <w:iCs/>
        </w:rPr>
        <w:t>d</w:t>
      </w:r>
      <w:r w:rsidR="00BE0023">
        <w:rPr>
          <w:iCs/>
        </w:rPr>
        <w:t>el Codice</w:t>
      </w:r>
      <w:r w:rsidRPr="00820487">
        <w:rPr>
          <w:iCs/>
        </w:rPr>
        <w:t xml:space="preserve">), la dichiarazione deve essere sottoscritta con firma </w:t>
      </w:r>
      <w:r w:rsidR="00913EAA" w:rsidRPr="00820487">
        <w:rPr>
          <w:iCs/>
        </w:rPr>
        <w:t>digitale</w:t>
      </w:r>
      <w:r w:rsidRPr="00820487">
        <w:rPr>
          <w:iCs/>
        </w:rPr>
        <w:t xml:space="preserve"> da </w:t>
      </w:r>
      <w:r w:rsidRPr="00820487">
        <w:rPr>
          <w:b/>
          <w:iCs/>
        </w:rPr>
        <w:t>tutti</w:t>
      </w:r>
      <w:r w:rsidRPr="00820487">
        <w:rPr>
          <w:iCs/>
        </w:rPr>
        <w:t xml:space="preserve"> i membri</w:t>
      </w:r>
      <w:r w:rsidR="000B26E7" w:rsidRPr="00820487">
        <w:rPr>
          <w:iCs/>
        </w:rPr>
        <w:t xml:space="preserve"> compartecipanti</w:t>
      </w:r>
      <w:r w:rsidR="00E31087" w:rsidRPr="00820487">
        <w:rPr>
          <w:iCs/>
        </w:rPr>
        <w:t xml:space="preserve"> del gruppo</w:t>
      </w:r>
      <w:r w:rsidRPr="00820487">
        <w:rPr>
          <w:iCs/>
        </w:rPr>
        <w:t>.</w:t>
      </w:r>
      <w:r w:rsidR="0009102C" w:rsidRPr="00820487">
        <w:t xml:space="preserve"> </w:t>
      </w:r>
    </w:p>
    <w:p w:rsidR="00BE0023" w:rsidRPr="002C6124" w:rsidRDefault="00BE0023" w:rsidP="00BE0023"/>
    <w:p w:rsidR="00BE0023" w:rsidRPr="002C6124" w:rsidRDefault="00BE0023" w:rsidP="00BE0023">
      <w:pPr>
        <w:spacing w:after="112"/>
        <w:jc w:val="center"/>
      </w:pPr>
      <w:r w:rsidRPr="002C6124">
        <w:rPr>
          <w:rFonts w:eastAsia="Candara"/>
          <w:i/>
        </w:rPr>
        <w:t>Firmato digitalmente</w:t>
      </w:r>
    </w:p>
    <w:p w:rsidR="00BE0023" w:rsidRPr="002C6124" w:rsidRDefault="00BE0023" w:rsidP="00BE0023">
      <w:pPr>
        <w:spacing w:after="112"/>
        <w:jc w:val="center"/>
      </w:pPr>
      <w:r w:rsidRPr="002C6124">
        <w:rPr>
          <w:rFonts w:eastAsia="Candara"/>
          <w:i/>
        </w:rPr>
        <w:t>Firmato digitalmente</w:t>
      </w:r>
    </w:p>
    <w:p w:rsidR="00BE0023" w:rsidRPr="002C6124" w:rsidRDefault="00BE0023" w:rsidP="00BE0023">
      <w:pPr>
        <w:spacing w:after="112"/>
        <w:jc w:val="center"/>
      </w:pPr>
      <w:r w:rsidRPr="002C6124">
        <w:rPr>
          <w:rFonts w:eastAsia="Candara"/>
          <w:i/>
        </w:rPr>
        <w:t>Firmato digitalmente</w:t>
      </w:r>
    </w:p>
    <w:p w:rsidR="00BE0023" w:rsidRDefault="00BE0023" w:rsidP="00BE0023"/>
    <w:p w:rsidR="00820487" w:rsidRDefault="00820487" w:rsidP="00820487">
      <w:pPr>
        <w:spacing w:line="490" w:lineRule="exact"/>
        <w:jc w:val="both"/>
        <w:rPr>
          <w:iCs/>
        </w:rPr>
      </w:pPr>
      <w:bookmarkStart w:id="2" w:name="28"/>
      <w:r w:rsidRPr="00CE593D">
        <w:rPr>
          <w:b/>
          <w:iCs/>
          <w:u w:val="single"/>
        </w:rPr>
        <w:t>NB</w:t>
      </w:r>
      <w:r w:rsidRPr="00820487">
        <w:rPr>
          <w:iCs/>
        </w:rPr>
        <w:t xml:space="preserve">: si precisa che ai sensi dell’art. 7 </w:t>
      </w:r>
      <w:r w:rsidRPr="00C35630">
        <w:rPr>
          <w:i/>
          <w:iCs/>
        </w:rPr>
        <w:t>(</w:t>
      </w:r>
      <w:r w:rsidR="00C532CA" w:rsidRPr="00C35630">
        <w:rPr>
          <w:i/>
          <w:iCs/>
        </w:rPr>
        <w:t>“</w:t>
      </w:r>
      <w:r w:rsidRPr="00C35630">
        <w:rPr>
          <w:i/>
          <w:iCs/>
        </w:rPr>
        <w:t>Entrata in vigore</w:t>
      </w:r>
      <w:r w:rsidR="00C532CA" w:rsidRPr="00C35630">
        <w:rPr>
          <w:i/>
          <w:iCs/>
        </w:rPr>
        <w:t>”</w:t>
      </w:r>
      <w:r w:rsidRPr="00C35630">
        <w:rPr>
          <w:i/>
          <w:iCs/>
        </w:rPr>
        <w:t>)</w:t>
      </w:r>
      <w:r w:rsidRPr="00820487">
        <w:rPr>
          <w:iCs/>
        </w:rPr>
        <w:t xml:space="preserve"> </w:t>
      </w:r>
      <w:r w:rsidR="00CE593D" w:rsidRPr="00820487">
        <w:rPr>
          <w:iCs/>
        </w:rPr>
        <w:t xml:space="preserve">del </w:t>
      </w:r>
      <w:r w:rsidR="00CE593D" w:rsidRPr="007562D3">
        <w:rPr>
          <w:b/>
          <w:iCs/>
        </w:rPr>
        <w:t xml:space="preserve">d.lgs. n. 122 del 2018 </w:t>
      </w:r>
      <w:r w:rsidR="00CE593D" w:rsidRPr="006E68ED">
        <w:rPr>
          <w:i/>
          <w:iCs/>
        </w:rPr>
        <w:t>“Disposizioni per la revisione della disciplina del casellario giudiziale, in attuazione della delega di cui all'articolo 1, commi 18 e 19, della legge 23 giugno 2017, n. 103</w:t>
      </w:r>
      <w:r w:rsidR="006E68ED">
        <w:rPr>
          <w:i/>
          <w:iCs/>
        </w:rPr>
        <w:t>”,</w:t>
      </w:r>
      <w:r w:rsidR="00CE593D" w:rsidRPr="00CE593D">
        <w:rPr>
          <w:iCs/>
        </w:rPr>
        <w:t xml:space="preserve"> </w:t>
      </w:r>
      <w:r w:rsidR="00CE593D" w:rsidRPr="007562D3">
        <w:rPr>
          <w:b/>
          <w:iCs/>
        </w:rPr>
        <w:t>pubblicato in</w:t>
      </w:r>
      <w:r w:rsidR="00CE593D">
        <w:rPr>
          <w:iCs/>
        </w:rPr>
        <w:t xml:space="preserve"> </w:t>
      </w:r>
      <w:hyperlink r:id="rId8" w:tgtFrame="_blank" w:history="1">
        <w:r w:rsidR="00CE593D" w:rsidRPr="00C135E3">
          <w:rPr>
            <w:b/>
            <w:iCs/>
          </w:rPr>
          <w:t>(GURI Serie Generale n.250 del 26-10-2018</w:t>
        </w:r>
        <w:r w:rsidR="00CE593D" w:rsidRPr="00CE593D">
          <w:rPr>
            <w:iCs/>
          </w:rPr>
          <w:t xml:space="preserve"> - </w:t>
        </w:r>
        <w:r w:rsidR="00CE593D" w:rsidRPr="007562D3">
          <w:rPr>
            <w:b/>
            <w:iCs/>
          </w:rPr>
          <w:t>Suppl. Ordinario n. 50/L</w:t>
        </w:r>
        <w:r w:rsidR="00CE593D" w:rsidRPr="00CE593D">
          <w:rPr>
            <w:iCs/>
          </w:rPr>
          <w:t>)</w:t>
        </w:r>
      </w:hyperlink>
      <w:r w:rsidR="00167F92">
        <w:rPr>
          <w:iCs/>
        </w:rPr>
        <w:t>,</w:t>
      </w:r>
      <w:r w:rsidR="008A026E" w:rsidRPr="00CE593D">
        <w:rPr>
          <w:iCs/>
        </w:rPr>
        <w:t xml:space="preserve"> </w:t>
      </w:r>
      <w:r w:rsidRPr="00820487">
        <w:rPr>
          <w:iCs/>
        </w:rPr>
        <w:t xml:space="preserve">tutte le disposizioni ivi contenute acquistano efficacia </w:t>
      </w:r>
      <w:r w:rsidRPr="00B0490B">
        <w:rPr>
          <w:iCs/>
          <w:u w:val="single"/>
        </w:rPr>
        <w:t>decorso un anno dalla pubblicazione del decreto nella Gazzetta Ufficiale</w:t>
      </w:r>
      <w:r w:rsidRPr="00820487">
        <w:rPr>
          <w:iCs/>
        </w:rPr>
        <w:t>.</w:t>
      </w:r>
    </w:p>
    <w:p w:rsidR="00167F92" w:rsidRDefault="00167F92" w:rsidP="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90550" w:rsidRDefault="00B0490B" w:rsidP="00933633">
      <w:pPr>
        <w:spacing w:line="490" w:lineRule="exact"/>
        <w:jc w:val="both"/>
        <w:rPr>
          <w:iCs/>
        </w:rPr>
      </w:pPr>
      <w:r w:rsidRPr="005E4A33">
        <w:rPr>
          <w:iCs/>
          <w:u w:val="single"/>
        </w:rPr>
        <w:t>Si segnala</w:t>
      </w:r>
      <w:r w:rsidRPr="005E4A33">
        <w:rPr>
          <w:iCs/>
        </w:rPr>
        <w:t xml:space="preserve"> </w:t>
      </w:r>
      <w:r>
        <w:rPr>
          <w:iCs/>
        </w:rPr>
        <w:t>i</w:t>
      </w:r>
      <w:r w:rsidR="00C532CA" w:rsidRPr="00C532CA">
        <w:rPr>
          <w:iCs/>
        </w:rPr>
        <w:t>n particolare l’art.</w:t>
      </w:r>
      <w:r w:rsidR="00820487" w:rsidRPr="00C532CA">
        <w:rPr>
          <w:iCs/>
        </w:rPr>
        <w:t xml:space="preserve"> 28</w:t>
      </w:r>
      <w:bookmarkEnd w:id="2"/>
      <w:r w:rsidR="00167F92">
        <w:rPr>
          <w:iCs/>
        </w:rPr>
        <w:t>, commi 7</w:t>
      </w:r>
      <w:r w:rsidR="00BE61CD">
        <w:rPr>
          <w:iCs/>
        </w:rPr>
        <w:t>,</w:t>
      </w:r>
      <w:r w:rsidR="00167F92">
        <w:rPr>
          <w:iCs/>
        </w:rPr>
        <w:t xml:space="preserve"> 8</w:t>
      </w:r>
      <w:r w:rsidR="00820487" w:rsidRPr="00C532CA">
        <w:rPr>
          <w:iCs/>
        </w:rPr>
        <w:t xml:space="preserve"> </w:t>
      </w:r>
      <w:r w:rsidR="00BE61CD">
        <w:rPr>
          <w:iCs/>
        </w:rPr>
        <w:t xml:space="preserve">e 9 </w:t>
      </w:r>
      <w:r w:rsidR="00C532CA" w:rsidRPr="00C35630">
        <w:rPr>
          <w:i/>
          <w:iCs/>
        </w:rPr>
        <w:t>(“</w:t>
      </w:r>
      <w:r w:rsidR="00820487" w:rsidRPr="00C35630">
        <w:rPr>
          <w:i/>
          <w:iCs/>
        </w:rPr>
        <w:t>Certificati richiesti dalle amministrazioni pubbliche e gestori di pubblici servizi</w:t>
      </w:r>
      <w:r w:rsidR="00C532CA" w:rsidRPr="00C35630">
        <w:rPr>
          <w:i/>
          <w:iCs/>
        </w:rPr>
        <w:t xml:space="preserve">”) </w:t>
      </w:r>
      <w:r w:rsidR="00161D72">
        <w:rPr>
          <w:iCs/>
        </w:rPr>
        <w:t>introdotto</w:t>
      </w:r>
      <w:r w:rsidR="007562D3">
        <w:rPr>
          <w:iCs/>
        </w:rPr>
        <w:t xml:space="preserve"> </w:t>
      </w:r>
      <w:r w:rsidR="00C532CA" w:rsidRPr="00820487">
        <w:rPr>
          <w:iCs/>
        </w:rPr>
        <w:t>d</w:t>
      </w:r>
      <w:r w:rsidR="007562D3">
        <w:rPr>
          <w:iCs/>
        </w:rPr>
        <w:t>a</w:t>
      </w:r>
      <w:r w:rsidR="00C532CA" w:rsidRPr="00820487">
        <w:rPr>
          <w:iCs/>
        </w:rPr>
        <w:t>l d.lgs. n. 122 del 2018</w:t>
      </w:r>
      <w:r w:rsidR="00C532CA" w:rsidRPr="00790550">
        <w:rPr>
          <w:iCs/>
        </w:rPr>
        <w:t xml:space="preserve"> </w:t>
      </w:r>
      <w:r w:rsidR="00933633">
        <w:rPr>
          <w:iCs/>
        </w:rPr>
        <w:t xml:space="preserve">di modifica del dpr 313/2002 </w:t>
      </w:r>
      <w:r w:rsidR="00933633" w:rsidRPr="00933633">
        <w:rPr>
          <w:i/>
          <w:iCs/>
        </w:rPr>
        <w:t>“Testo unico delle disposizioni legislative e regolamentari in materia di casellario giudiziale, di casellario giudiziale europeo, di anagrafe delle sanzioni amministrative dipendenti da reato e dei relativi carichi pendenti”</w:t>
      </w:r>
      <w:r w:rsidR="00933633">
        <w:rPr>
          <w:iCs/>
        </w:rPr>
        <w:t xml:space="preserve">, </w:t>
      </w:r>
      <w:r>
        <w:rPr>
          <w:iCs/>
        </w:rPr>
        <w:t xml:space="preserve">che </w:t>
      </w:r>
      <w:r w:rsidR="00C532CA" w:rsidRPr="00790550">
        <w:rPr>
          <w:iCs/>
        </w:rPr>
        <w:t>dispone:</w:t>
      </w:r>
    </w:p>
    <w:p w:rsidR="00820487" w:rsidRPr="00C532CA" w:rsidRDefault="00820487" w:rsidP="00790550">
      <w:pPr>
        <w:pStyle w:val="Testonotaapidipagina"/>
        <w:ind w:left="284" w:right="566"/>
        <w:jc w:val="both"/>
        <w:rPr>
          <w:i/>
          <w:sz w:val="22"/>
          <w:szCs w:val="22"/>
        </w:rPr>
      </w:pPr>
      <w:r w:rsidRPr="00C532CA">
        <w:rPr>
          <w:iCs/>
          <w:sz w:val="24"/>
          <w:szCs w:val="24"/>
        </w:rPr>
        <w:br/>
      </w:r>
      <w:r w:rsidR="00C532CA" w:rsidRPr="00C532CA">
        <w:rPr>
          <w:i/>
          <w:sz w:val="22"/>
          <w:szCs w:val="22"/>
        </w:rPr>
        <w:t>“</w:t>
      </w:r>
      <w:r w:rsidRPr="00C532CA">
        <w:rPr>
          <w:i/>
          <w:sz w:val="22"/>
          <w:szCs w:val="22"/>
        </w:rPr>
        <w:t xml:space="preserve">1. Le amministrazioni pubbliche e i gestori di pubblici servizi, quando è necessario per l'esercizio delle loro funzioni, hanno diritto di ottenere, con le modalità di cui all'articolo 39, in relazione a persone maggiori di età, il certificato selettivo di cui al comma 2 o il certificato generale del casellario giudiziale di cui al comma 3, nonché i certificati di cui agli articoli 27 e 28-bis. </w:t>
      </w:r>
    </w:p>
    <w:p w:rsidR="00820487" w:rsidRPr="00C532CA" w:rsidRDefault="00820487" w:rsidP="00C532CA">
      <w:pPr>
        <w:pStyle w:val="Testonotaapidipagina"/>
        <w:ind w:left="284" w:right="566"/>
        <w:jc w:val="both"/>
        <w:rPr>
          <w:i/>
          <w:sz w:val="22"/>
          <w:szCs w:val="22"/>
        </w:rPr>
      </w:pPr>
      <w:r w:rsidRPr="00C532CA">
        <w:rPr>
          <w:i/>
          <w:sz w:val="22"/>
          <w:szCs w:val="22"/>
        </w:rPr>
        <w:t xml:space="preserve">2. Il certificato selettivo contiene le sole iscrizioni esistenti nel casellario giudiziale a carico di un determinato soggetto pertinenti e rilevanti rispetto alle finalità istituzionali dell'amministrazione o del gestore. Ciascuna iscrizione riportata è conforme all'estratto di cui all'articolo 4. </w:t>
      </w:r>
    </w:p>
    <w:p w:rsidR="00820487" w:rsidRPr="00C532CA" w:rsidRDefault="00820487" w:rsidP="00C532CA">
      <w:pPr>
        <w:pStyle w:val="Testonotaapidipagina"/>
        <w:ind w:left="284" w:right="566"/>
        <w:jc w:val="both"/>
        <w:rPr>
          <w:i/>
          <w:sz w:val="22"/>
          <w:szCs w:val="22"/>
        </w:rPr>
      </w:pPr>
      <w:r w:rsidRPr="00C532CA">
        <w:rPr>
          <w:i/>
          <w:sz w:val="22"/>
          <w:szCs w:val="22"/>
        </w:rPr>
        <w:t xml:space="preserve">3. Il certificato generale riporta tutte le iscrizioni esistenti nel casellario giudiziale a carico di un determinato soggetto ed è rilasciato quando non può procedersi, sulla base delle disposizioni che regolano i singoli procedimenti amministrativi, alla selezione delle iscrizioni pertinenti e rilevanti. </w:t>
      </w:r>
    </w:p>
    <w:p w:rsidR="00820487" w:rsidRPr="00C532CA" w:rsidRDefault="00820487" w:rsidP="00C532CA">
      <w:pPr>
        <w:pStyle w:val="Testonotaapidipagina"/>
        <w:ind w:left="284" w:right="566"/>
        <w:jc w:val="both"/>
        <w:rPr>
          <w:i/>
          <w:sz w:val="22"/>
          <w:szCs w:val="22"/>
        </w:rPr>
      </w:pPr>
      <w:r w:rsidRPr="00C532CA">
        <w:rPr>
          <w:i/>
          <w:sz w:val="22"/>
          <w:szCs w:val="22"/>
        </w:rPr>
        <w:t xml:space="preserve">4. I dati acquisiti dalle amministrazioni pubbliche e dai gestori di pubblici servizi sono trattati nel rispetto delle norme in materia di protezione dei dati personali e solo ai fini del procedimento amministrativo cui si riferisce la richiesta. </w:t>
      </w:r>
    </w:p>
    <w:p w:rsidR="00820487" w:rsidRPr="00C532CA" w:rsidRDefault="00820487" w:rsidP="00C532CA">
      <w:pPr>
        <w:pStyle w:val="Testonotaapidipagina"/>
        <w:ind w:left="284" w:right="566"/>
        <w:jc w:val="both"/>
        <w:rPr>
          <w:i/>
          <w:sz w:val="22"/>
          <w:szCs w:val="22"/>
        </w:rPr>
      </w:pPr>
      <w:r w:rsidRPr="00C532CA">
        <w:rPr>
          <w:i/>
          <w:sz w:val="22"/>
          <w:szCs w:val="22"/>
        </w:rPr>
        <w:lastRenderedPageBreak/>
        <w:t xml:space="preserve">5. Il certificato selettivo è rilasciato dall'ufficio locale del casellario di cui all'articolo 18 quando motivi tecnici ne impediscono temporaneamente il rilascio secondo le modalità di cui all'articolo 39. </w:t>
      </w:r>
    </w:p>
    <w:p w:rsidR="00820487" w:rsidRPr="00C532CA" w:rsidRDefault="00820487" w:rsidP="00C532CA">
      <w:pPr>
        <w:pStyle w:val="Testonotaapidipagina"/>
        <w:ind w:left="284" w:right="566"/>
        <w:jc w:val="both"/>
        <w:rPr>
          <w:i/>
          <w:sz w:val="22"/>
          <w:szCs w:val="22"/>
        </w:rPr>
      </w:pPr>
      <w:r w:rsidRPr="00C532CA">
        <w:rPr>
          <w:i/>
          <w:sz w:val="22"/>
          <w:szCs w:val="22"/>
        </w:rPr>
        <w:t xml:space="preserve">6. Il certificato generale è rilasciato dall'ufficio locale del casellario di cui all'articolo 18: </w:t>
      </w:r>
    </w:p>
    <w:p w:rsidR="003A44B3" w:rsidRDefault="00820487" w:rsidP="00C532CA">
      <w:pPr>
        <w:pStyle w:val="Testonotaapidipagina"/>
        <w:ind w:left="284" w:right="566"/>
        <w:jc w:val="both"/>
        <w:rPr>
          <w:i/>
          <w:sz w:val="22"/>
          <w:szCs w:val="22"/>
        </w:rPr>
      </w:pPr>
      <w:r w:rsidRPr="00C532CA">
        <w:rPr>
          <w:i/>
          <w:sz w:val="22"/>
          <w:szCs w:val="22"/>
        </w:rPr>
        <w:t xml:space="preserve">a) quando motivi tecnici ne impediscono temporaneamente il rilascio secondo le modalità di cui all'articolo 39; </w:t>
      </w:r>
    </w:p>
    <w:p w:rsidR="00820487" w:rsidRPr="00C532CA" w:rsidRDefault="00820487" w:rsidP="00C532CA">
      <w:pPr>
        <w:pStyle w:val="Testonotaapidipagina"/>
        <w:ind w:left="284" w:right="566"/>
        <w:jc w:val="both"/>
        <w:rPr>
          <w:i/>
          <w:sz w:val="22"/>
          <w:szCs w:val="22"/>
        </w:rPr>
      </w:pPr>
      <w:r w:rsidRPr="00C532CA">
        <w:rPr>
          <w:i/>
          <w:sz w:val="22"/>
          <w:szCs w:val="22"/>
        </w:rPr>
        <w:t xml:space="preserve">b) nelle more della stipula o della modifica della convenzione di cui all'articolo 39 e della realizzazione delle procedure informatiche finalizzate all'accesso selettivo; </w:t>
      </w:r>
      <w:r w:rsidRPr="00C532CA">
        <w:rPr>
          <w:i/>
          <w:sz w:val="22"/>
          <w:szCs w:val="22"/>
        </w:rPr>
        <w:br/>
        <w:t xml:space="preserve">c) nel caso di motivate richieste relative a procedimenti amministrativi ulteriori rispetto a quelli indicati in convenzione. </w:t>
      </w:r>
    </w:p>
    <w:p w:rsidR="00820487" w:rsidRPr="00167F92" w:rsidRDefault="00820487" w:rsidP="00C532CA">
      <w:pPr>
        <w:pStyle w:val="Testonotaapidipagina"/>
        <w:ind w:left="284" w:right="566"/>
        <w:jc w:val="both"/>
        <w:rPr>
          <w:b/>
          <w:i/>
          <w:sz w:val="22"/>
          <w:szCs w:val="22"/>
        </w:rPr>
      </w:pPr>
      <w:r w:rsidRPr="00167F92">
        <w:rPr>
          <w:b/>
          <w:i/>
          <w:sz w:val="22"/>
          <w:szCs w:val="22"/>
        </w:rPr>
        <w:t xml:space="preserve">7. Nei certificati di cui ai commi 2 e 3 non sono, in ogni caso, riportate le iscrizioni relative: </w:t>
      </w:r>
    </w:p>
    <w:p w:rsidR="003A44B3" w:rsidRPr="00167F92" w:rsidRDefault="00820487" w:rsidP="00C532CA">
      <w:pPr>
        <w:pStyle w:val="Testonotaapidipagina"/>
        <w:ind w:left="284" w:right="566"/>
        <w:jc w:val="both"/>
        <w:rPr>
          <w:b/>
          <w:i/>
          <w:sz w:val="22"/>
          <w:szCs w:val="22"/>
        </w:rPr>
      </w:pPr>
      <w:r w:rsidRPr="00167F92">
        <w:rPr>
          <w:b/>
          <w:i/>
          <w:sz w:val="22"/>
          <w:szCs w:val="22"/>
        </w:rPr>
        <w:t xml:space="preserve">a) alle condanne per contravvenzioni punibili con la sola ammenda e alle condanne per reati estinti a norma dell'articolo 167, primo comma, del codice penale; </w:t>
      </w:r>
      <w:r w:rsidRPr="00167F92">
        <w:rPr>
          <w:b/>
          <w:i/>
          <w:sz w:val="22"/>
          <w:szCs w:val="22"/>
        </w:rPr>
        <w:br/>
        <w:t xml:space="preserve">b) ai provvedimenti che ai sensi dell'articolo 464-quater del codice di procedura penale, dispongono la sospensione del procedimento con messa alla prova, nonché alle sentenze che ai sensi dell'articolo 464-septies del codice di procedura penale dichiarano estinto il reato per esito positivo della messa alla prova; </w:t>
      </w:r>
    </w:p>
    <w:p w:rsidR="00820487" w:rsidRPr="00167F92" w:rsidRDefault="00820487" w:rsidP="00C532CA">
      <w:pPr>
        <w:pStyle w:val="Testonotaapidipagina"/>
        <w:ind w:left="284" w:right="566"/>
        <w:jc w:val="both"/>
        <w:rPr>
          <w:b/>
          <w:i/>
          <w:sz w:val="22"/>
          <w:szCs w:val="22"/>
        </w:rPr>
      </w:pPr>
      <w:r w:rsidRPr="00167F92">
        <w:rPr>
          <w:b/>
          <w:i/>
          <w:sz w:val="22"/>
          <w:szCs w:val="22"/>
        </w:rPr>
        <w:t xml:space="preserve">c) ai provvedimenti giudiziari che hanno dichiarato la non punibilità ai sensi dell'articolo 131-bis del codice penale. </w:t>
      </w:r>
    </w:p>
    <w:p w:rsidR="00820487" w:rsidRPr="00790550" w:rsidRDefault="00820487" w:rsidP="00C532CA">
      <w:pPr>
        <w:pStyle w:val="Testonotaapidipagina"/>
        <w:ind w:left="284" w:right="566"/>
        <w:jc w:val="both"/>
        <w:rPr>
          <w:b/>
          <w:i/>
          <w:sz w:val="22"/>
          <w:szCs w:val="22"/>
        </w:rPr>
      </w:pPr>
      <w:r w:rsidRPr="00790550">
        <w:rPr>
          <w:b/>
          <w:i/>
          <w:sz w:val="22"/>
          <w:szCs w:val="22"/>
        </w:rPr>
        <w:t>8. L'interessato che, a norma degli articoli 46 e 47 del d.P.R. 28 dicembre 2000, n. 445, rende dichiarazioni sostitutive relative all'esistenza nel casellario giudiziale di iscrizioni a suo carico, non è tenuto a indicare la presenza di quelle di cui al comma 7, nonché di cui all'articolo 24, comma 1.</w:t>
      </w:r>
      <w:r w:rsidR="00B643D5">
        <w:rPr>
          <w:rStyle w:val="Rimandonotaapidipagina"/>
          <w:b/>
          <w:i/>
          <w:sz w:val="22"/>
          <w:szCs w:val="22"/>
        </w:rPr>
        <w:footnoteReference w:id="2"/>
      </w:r>
      <w:r w:rsidRPr="00790550">
        <w:rPr>
          <w:b/>
          <w:i/>
          <w:sz w:val="22"/>
          <w:szCs w:val="22"/>
        </w:rPr>
        <w:t xml:space="preserve"> </w:t>
      </w:r>
    </w:p>
    <w:p w:rsidR="00820487" w:rsidRPr="00BE61CD" w:rsidRDefault="00820487" w:rsidP="00C532CA">
      <w:pPr>
        <w:pStyle w:val="Testonotaapidipagina"/>
        <w:ind w:left="284" w:right="566"/>
        <w:jc w:val="both"/>
        <w:rPr>
          <w:b/>
          <w:i/>
          <w:sz w:val="22"/>
          <w:szCs w:val="22"/>
        </w:rPr>
      </w:pPr>
      <w:r w:rsidRPr="00BE61CD">
        <w:rPr>
          <w:b/>
          <w:i/>
          <w:sz w:val="22"/>
          <w:szCs w:val="22"/>
        </w:rPr>
        <w:lastRenderedPageBreak/>
        <w:t>9. I certificati di cui ai commi 2 e 3 riguardanti un cittadino italiano contengono anche l'attestazione relativa alla sussistenza o non di iscrizioni nel casellario giudiziale europeo.</w:t>
      </w:r>
    </w:p>
    <w:p w:rsidR="00820487" w:rsidRPr="00C532CA" w:rsidRDefault="00820487" w:rsidP="00C532CA">
      <w:pPr>
        <w:pStyle w:val="Testonotaapidipagina"/>
        <w:ind w:left="284" w:right="566"/>
        <w:jc w:val="both"/>
        <w:rPr>
          <w:i/>
          <w:sz w:val="22"/>
          <w:szCs w:val="22"/>
        </w:rPr>
      </w:pPr>
      <w:r w:rsidRPr="00C532CA">
        <w:rPr>
          <w:i/>
          <w:sz w:val="22"/>
          <w:szCs w:val="22"/>
        </w:rPr>
        <w:t>10. In caso di comunicazione prevista dall'articolo 20, comma 3, i certificati contengono il riferimento alla data del decesso.</w:t>
      </w:r>
      <w:r w:rsidR="00C532CA">
        <w:rPr>
          <w:i/>
          <w:sz w:val="22"/>
          <w:szCs w:val="22"/>
        </w:rPr>
        <w:t>”</w:t>
      </w:r>
    </w:p>
    <w:p w:rsidR="008F4288" w:rsidRPr="00F00E59" w:rsidRDefault="008F4288" w:rsidP="00C532CA">
      <w:pPr>
        <w:widowControl w:val="0"/>
        <w:autoSpaceDE w:val="0"/>
        <w:autoSpaceDN w:val="0"/>
        <w:adjustRightInd w:val="0"/>
        <w:spacing w:before="120" w:after="120" w:line="480" w:lineRule="exact"/>
        <w:ind w:left="284" w:right="566"/>
        <w:jc w:val="center"/>
      </w:pPr>
    </w:p>
    <w:sectPr w:rsidR="008F4288" w:rsidRPr="00F00E59" w:rsidSect="00201422">
      <w:pgSz w:w="11906" w:h="16838" w:code="9"/>
      <w:pgMar w:top="1418" w:right="1134" w:bottom="1134" w:left="1134" w:header="709" w:footer="709" w:gutter="0"/>
      <w:paperSrc w:first="7" w:other="7"/>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80" w:rsidRDefault="00113580">
      <w:r>
        <w:separator/>
      </w:r>
    </w:p>
  </w:endnote>
  <w:endnote w:type="continuationSeparator" w:id="0">
    <w:p w:rsidR="00113580" w:rsidRDefault="0011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80" w:rsidRDefault="00113580">
      <w:r>
        <w:separator/>
      </w:r>
    </w:p>
  </w:footnote>
  <w:footnote w:type="continuationSeparator" w:id="0">
    <w:p w:rsidR="00113580" w:rsidRDefault="00113580">
      <w:r>
        <w:continuationSeparator/>
      </w:r>
    </w:p>
  </w:footnote>
  <w:footnote w:id="1">
    <w:p w:rsidR="00AA702E" w:rsidRPr="008B26C0" w:rsidRDefault="00AA702E" w:rsidP="00CD2796">
      <w:pPr>
        <w:pStyle w:val="Testonotaapidipagina"/>
        <w:jc w:val="both"/>
        <w:rPr>
          <w:sz w:val="22"/>
          <w:szCs w:val="22"/>
        </w:rPr>
      </w:pPr>
      <w:r w:rsidRPr="008B26C0">
        <w:rPr>
          <w:rStyle w:val="Rimandonotaapidipagina"/>
          <w:sz w:val="22"/>
          <w:szCs w:val="22"/>
        </w:rPr>
        <w:footnoteRef/>
      </w:r>
      <w:r w:rsidRPr="008B26C0">
        <w:rPr>
          <w:sz w:val="22"/>
          <w:szCs w:val="22"/>
        </w:rPr>
        <w:t xml:space="preserve"> Si riporta di seguito il testo dell’art. 80, commi da </w:t>
      </w:r>
      <w:r w:rsidR="00BA48A5" w:rsidRPr="008B26C0">
        <w:rPr>
          <w:sz w:val="22"/>
          <w:szCs w:val="22"/>
        </w:rPr>
        <w:t xml:space="preserve">1 a </w:t>
      </w:r>
      <w:r w:rsidR="009930D3">
        <w:rPr>
          <w:sz w:val="22"/>
          <w:szCs w:val="22"/>
        </w:rPr>
        <w:t>6</w:t>
      </w:r>
      <w:r w:rsidR="00BA48A5" w:rsidRPr="008B26C0">
        <w:rPr>
          <w:sz w:val="22"/>
          <w:szCs w:val="22"/>
        </w:rPr>
        <w:t xml:space="preserve">, d.lgs. </w:t>
      </w:r>
      <w:r w:rsidR="00963FF2">
        <w:rPr>
          <w:sz w:val="22"/>
          <w:szCs w:val="22"/>
        </w:rPr>
        <w:t xml:space="preserve">n. </w:t>
      </w:r>
      <w:r w:rsidR="00BA48A5" w:rsidRPr="008B26C0">
        <w:rPr>
          <w:sz w:val="22"/>
          <w:szCs w:val="22"/>
        </w:rPr>
        <w:t>50/</w:t>
      </w:r>
      <w:r w:rsidRPr="008B26C0">
        <w:rPr>
          <w:sz w:val="22"/>
          <w:szCs w:val="22"/>
        </w:rPr>
        <w:t>16</w:t>
      </w:r>
      <w:r w:rsidR="00AC765D" w:rsidRPr="008B26C0">
        <w:rPr>
          <w:sz w:val="22"/>
          <w:szCs w:val="22"/>
        </w:rPr>
        <w:t xml:space="preserve"> s.m.i.</w:t>
      </w:r>
      <w:r w:rsidR="00BC554F" w:rsidRPr="008B26C0">
        <w:rPr>
          <w:sz w:val="22"/>
          <w:szCs w:val="22"/>
        </w:rPr>
        <w:t>:</w:t>
      </w:r>
    </w:p>
    <w:p w:rsidR="00AA702E" w:rsidRPr="008B26C0" w:rsidRDefault="00AA702E" w:rsidP="00CD2796">
      <w:pPr>
        <w:pStyle w:val="Testonotaapidipagina"/>
        <w:jc w:val="both"/>
        <w:rPr>
          <w:sz w:val="22"/>
          <w:szCs w:val="22"/>
        </w:rPr>
      </w:pPr>
    </w:p>
    <w:p w:rsidR="00EE223D" w:rsidRPr="00EE223D" w:rsidRDefault="00063A9A" w:rsidP="00EE223D">
      <w:pPr>
        <w:pStyle w:val="Testonotaapidipagina"/>
        <w:ind w:left="284" w:right="566"/>
        <w:jc w:val="both"/>
        <w:rPr>
          <w:i/>
          <w:iCs/>
          <w:sz w:val="22"/>
          <w:szCs w:val="22"/>
        </w:rPr>
      </w:pPr>
      <w:r>
        <w:rPr>
          <w:i/>
          <w:iCs/>
          <w:sz w:val="22"/>
          <w:szCs w:val="22"/>
        </w:rPr>
        <w:t>“</w:t>
      </w:r>
      <w:r w:rsidR="00EE223D" w:rsidRPr="00EE223D">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rsidR="00EE223D" w:rsidRDefault="00EE223D" w:rsidP="00EE223D">
      <w:pPr>
        <w:pStyle w:val="Testonotaapidipagina"/>
        <w:ind w:left="284" w:right="566"/>
        <w:jc w:val="both"/>
        <w:rPr>
          <w:i/>
          <w:iCs/>
          <w:sz w:val="22"/>
          <w:szCs w:val="22"/>
        </w:rPr>
      </w:pPr>
      <w:r w:rsidRPr="00EE223D">
        <w:rPr>
          <w:i/>
          <w:iCs/>
          <w:sz w:val="22"/>
          <w:szCs w:val="22"/>
        </w:rPr>
        <w:t>(alinea modificato dall'art. 10, comma 1, della legge n. 238 del 2021)</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b) delitti, consumati o tentati, di cui agli articoli 317, 318, 319, 319-ter, 319-quater, 320, 321, 322, 322-bis, 346-bis, 353, 353-bis, 354, 355 e 356 del codice penale nonché all’articolo 2635 del codice civile;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b-bis) false comunicazioni sociali di cui agli articoli 2621 e 2622 del codice civile;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c) frode ai sensi dell'articolo 1 della convenzione relativa alla tutela degli interessi finanziari delle Comunità europee;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d) delitti, consumati o tentati, commessi con finalità di terrorismo, anche internazionale, e di eversione dell'ordine costituzionale reati terroristici o reati connessi alle attività terroristiche;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f) sfruttamento del lavoro minorile e altre forme di tratta di esseri umani definite con il decreto legislativo 4 marzo 2014, n. 24;</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g) ogni altro delitto da cui derivi, quale pena accessoria, l'incapacità di contrattare con la pubblica amministrazione.</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rsidR="00063A9A" w:rsidRPr="00063A9A" w:rsidRDefault="00063A9A" w:rsidP="00063A9A">
      <w:pPr>
        <w:pStyle w:val="Testonotaapidipagina"/>
        <w:ind w:left="284" w:right="566"/>
        <w:jc w:val="both"/>
        <w:rPr>
          <w:i/>
          <w:iCs/>
          <w:sz w:val="22"/>
          <w:szCs w:val="22"/>
        </w:rPr>
      </w:pPr>
    </w:p>
    <w:p w:rsidR="00FB797C" w:rsidRPr="00FB797C" w:rsidRDefault="00FB797C" w:rsidP="00063A9A">
      <w:pPr>
        <w:pStyle w:val="Testonotaapidipagina"/>
        <w:ind w:left="284" w:right="566"/>
        <w:jc w:val="both"/>
        <w:rPr>
          <w:i/>
          <w:iCs/>
          <w:color w:val="FF0000"/>
          <w:sz w:val="22"/>
          <w:szCs w:val="22"/>
        </w:rPr>
      </w:pPr>
      <w:r w:rsidRPr="00FB797C">
        <w:rPr>
          <w:i/>
          <w:sz w:val="22"/>
          <w:szCs w:val="22"/>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 w:anchor="02" w:history="1">
        <w:r w:rsidRPr="00FB797C">
          <w:rPr>
            <w:rStyle w:val="Collegamentoipertestuale"/>
            <w:i/>
            <w:sz w:val="22"/>
            <w:szCs w:val="22"/>
          </w:rPr>
          <w:t>articolo 48-bis, commi 1 e 2-bis, del decreto del Presidente della Repubblica 29 settembre 1973, n. 602</w:t>
        </w:r>
      </w:hyperlink>
      <w:r w:rsidRPr="00FB797C">
        <w:rPr>
          <w: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2" w:anchor="08" w:history="1">
        <w:r w:rsidRPr="00FB797C">
          <w:rPr>
            <w:rStyle w:val="Collegamentoipertestuale"/>
            <w:i/>
            <w:sz w:val="22"/>
            <w:szCs w:val="22"/>
          </w:rPr>
          <w:t>articolo 8 del decreto del Ministero del lavoro e delle politiche sociali 30 gennaio 2015, pubblicato sulla Gazzetta Ufficiale n. 125 del 1° giugno 2015</w:t>
        </w:r>
      </w:hyperlink>
      <w:r w:rsidRPr="00FB797C">
        <w:rPr>
          <w:i/>
          <w:sz w:val="22"/>
          <w:szCs w:val="22"/>
        </w:rPr>
        <w:t>,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rsidR="00063A9A" w:rsidRPr="00063A9A" w:rsidRDefault="00FB797C" w:rsidP="00063A9A">
      <w:pPr>
        <w:pStyle w:val="Testonotaapidipagina"/>
        <w:ind w:left="284" w:right="566"/>
        <w:jc w:val="both"/>
        <w:rPr>
          <w:i/>
          <w:iCs/>
          <w:sz w:val="22"/>
          <w:szCs w:val="22"/>
        </w:rPr>
      </w:pPr>
      <w:r w:rsidRPr="00063A9A">
        <w:rPr>
          <w:i/>
          <w:iCs/>
          <w:sz w:val="22"/>
          <w:szCs w:val="22"/>
        </w:rPr>
        <w:t xml:space="preserve"> </w:t>
      </w:r>
      <w:r w:rsidRPr="00FB797C">
        <w:rPr>
          <w:i/>
          <w:iCs/>
          <w:sz w:val="22"/>
          <w:szCs w:val="22"/>
        </w:rPr>
        <w:t xml:space="preserve">(comma modificato dall'art. 8, comma 5, lettera b), della legge n. 120 del 2020, poi dall'art. 10, comma 1, della legge n. 238 del 2021) </w:t>
      </w:r>
    </w:p>
    <w:p w:rsidR="00063A9A" w:rsidRPr="00063A9A" w:rsidRDefault="00063A9A" w:rsidP="00063A9A">
      <w:pPr>
        <w:pStyle w:val="Testonotaapidipagina"/>
        <w:ind w:left="284" w:right="566"/>
        <w:jc w:val="both"/>
        <w:rPr>
          <w:i/>
          <w:iCs/>
          <w:sz w:val="22"/>
          <w:szCs w:val="22"/>
        </w:rPr>
      </w:pPr>
    </w:p>
    <w:p w:rsidR="0008073B" w:rsidRPr="0008073B" w:rsidRDefault="0008073B" w:rsidP="0008073B">
      <w:pPr>
        <w:pStyle w:val="Testonotaapidipagina"/>
        <w:ind w:left="284" w:right="566"/>
        <w:jc w:val="both"/>
        <w:rPr>
          <w:i/>
          <w:iCs/>
          <w:sz w:val="22"/>
          <w:szCs w:val="22"/>
        </w:rPr>
      </w:pPr>
      <w:bookmarkStart w:id="0" w:name="080.5"/>
      <w:r w:rsidRPr="0008073B">
        <w:rPr>
          <w:i/>
          <w:iCs/>
          <w:sz w:val="22"/>
          <w:szCs w:val="22"/>
        </w:rPr>
        <w:t>5</w:t>
      </w:r>
      <w:bookmarkEnd w:id="0"/>
      <w:r w:rsidRPr="0008073B">
        <w:rPr>
          <w:i/>
          <w:iCs/>
          <w:sz w:val="22"/>
          <w:szCs w:val="22"/>
        </w:rPr>
        <w:t xml:space="preserve">. Le stazioni appaltanti escludono dalla partecipazione alla procedura d'appalto un operatore economico in una delle seguenti situazioni, qualora: </w:t>
      </w:r>
      <w:r w:rsidRPr="0008073B">
        <w:rPr>
          <w:i/>
          <w:iCs/>
          <w:sz w:val="22"/>
          <w:szCs w:val="22"/>
        </w:rPr>
        <w:br/>
        <w:t>(comma così modificato dall'art. 10, comma 1, lettera b), della legge n 238 del 2021)</w:t>
      </w:r>
    </w:p>
    <w:p w:rsidR="00063A9A" w:rsidRPr="00063A9A" w:rsidRDefault="00063A9A" w:rsidP="00063A9A">
      <w:pPr>
        <w:pStyle w:val="Testonotaapidipagina"/>
        <w:ind w:left="284" w:right="566"/>
        <w:jc w:val="both"/>
        <w:rPr>
          <w:i/>
          <w:iCs/>
          <w:sz w:val="22"/>
          <w:szCs w:val="22"/>
        </w:rPr>
      </w:pPr>
      <w:bookmarkStart w:id="1" w:name="_GoBack"/>
      <w:bookmarkEnd w:id="1"/>
      <w:r w:rsidRPr="00063A9A">
        <w:rPr>
          <w:i/>
          <w:iCs/>
          <w:sz w:val="22"/>
          <w:szCs w:val="22"/>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1, comma 20, lett. o), della legge n. 55 del 2019)</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372, comma 1, del decreto legislativo n. 14 del 2019 a partire dal 1° settembre 2021)</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c) la stazione appaltante dimostri con mezzi adeguati che l'operatore economico si è reso colpevole di gravi illeciti professionali, tali da rendere dubbia la sua integrità o affidabilità;</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 sostituita dalle lettere c), c-bis) e c-ter) dall'art. 5 del decreto-legge n. 135 del 2018, convertito nella legge n. 12 del 2019)</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c-quater) l’operatore economico abbia commesso grave inadempimento nei confronti di uno o più subappaltatori, riconosciuto o accertato con sentenza passata in giudicato;</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(si vedano le Linee guida n. 6 di ANAC)</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introdotta dall'art. 1, comma 20, lettera o), della legge n. 55 del 2019)</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d) la partecipazione dell'operatore economico determini una situazione di conflitto di interesse ai sensi dell'articolo 42, comma 2, non diversamente risolvibile;</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e) una distorsione della concorrenza derivante dal precedente coinvolgimento degli operatori economici nella preparazione della procedura d'appalto di cui all'articolo 67 non possa essere risolta con misure meno intrusive;</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f-bis) l’operatore economico che presenti nella procedura di gara in corso e negli affidamenti di subappalti documentazione o dichiarazioni non veritiere;</w:t>
      </w: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i) l'operatore economico non presenti la certificazione di cui all'articolo 17 della legge 12 marzo 1999, n. 68, ovvero non autocertifichi la sussistenza del medesimo requisito;</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063A9A" w:rsidRPr="00063A9A" w:rsidRDefault="00063A9A" w:rsidP="00063A9A">
      <w:pPr>
        <w:pStyle w:val="Testonotaapidipagina"/>
        <w:ind w:left="284" w:right="566"/>
        <w:jc w:val="both"/>
        <w:rPr>
          <w:i/>
          <w:iCs/>
          <w:sz w:val="22"/>
          <w:szCs w:val="22"/>
        </w:rPr>
      </w:pPr>
    </w:p>
    <w:p w:rsidR="00063A9A" w:rsidRPr="00063A9A" w:rsidRDefault="00063A9A" w:rsidP="00063A9A">
      <w:pPr>
        <w:pStyle w:val="Testonotaapidipagina"/>
        <w:ind w:left="284" w:right="566"/>
        <w:jc w:val="both"/>
        <w:rPr>
          <w:i/>
          <w:iCs/>
          <w:sz w:val="22"/>
          <w:szCs w:val="22"/>
        </w:rPr>
      </w:pPr>
      <w:r w:rsidRPr="00063A9A">
        <w:rPr>
          <w:i/>
          <w:iCs/>
          <w:sz w:val="22"/>
          <w:szCs w:val="22"/>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rsidR="00063A9A" w:rsidRDefault="00063A9A" w:rsidP="00063A9A">
      <w:pPr>
        <w:pStyle w:val="Testonotaapidipagina"/>
        <w:ind w:left="284" w:right="566"/>
        <w:jc w:val="both"/>
        <w:rPr>
          <w:iCs/>
          <w:color w:val="FF0000"/>
          <w:sz w:val="22"/>
          <w:szCs w:val="22"/>
        </w:rPr>
      </w:pPr>
    </w:p>
    <w:p w:rsidR="00063A9A" w:rsidRDefault="00063A9A" w:rsidP="00063A9A">
      <w:pPr>
        <w:pStyle w:val="Testonotaapidipagina"/>
        <w:ind w:left="284" w:right="566"/>
        <w:jc w:val="both"/>
        <w:rPr>
          <w:iCs/>
          <w:color w:val="FF0000"/>
          <w:sz w:val="22"/>
          <w:szCs w:val="22"/>
        </w:rPr>
      </w:pPr>
    </w:p>
    <w:p w:rsidR="00063A9A" w:rsidRDefault="00063A9A" w:rsidP="00063A9A">
      <w:pPr>
        <w:pStyle w:val="Testonotaapidipagina"/>
        <w:ind w:left="284" w:right="566"/>
        <w:jc w:val="both"/>
        <w:rPr>
          <w:iCs/>
          <w:color w:val="FF0000"/>
          <w:sz w:val="22"/>
          <w:szCs w:val="22"/>
        </w:rPr>
      </w:pPr>
    </w:p>
    <w:p w:rsidR="002021B2" w:rsidRPr="00F765FD" w:rsidRDefault="002021B2" w:rsidP="00063A9A">
      <w:pPr>
        <w:pStyle w:val="Testonotaapidipagina"/>
        <w:ind w:left="284" w:right="566"/>
        <w:jc w:val="both"/>
        <w:rPr>
          <w:i/>
          <w:sz w:val="22"/>
          <w:szCs w:val="22"/>
        </w:rPr>
      </w:pPr>
    </w:p>
    <w:p w:rsidR="002021B2" w:rsidRPr="00F765FD" w:rsidRDefault="002021B2" w:rsidP="00603EF6">
      <w:pPr>
        <w:pStyle w:val="Testonotaapidipagina"/>
        <w:ind w:left="284" w:right="566"/>
        <w:jc w:val="both"/>
        <w:rPr>
          <w:i/>
          <w:sz w:val="22"/>
          <w:szCs w:val="22"/>
        </w:rPr>
      </w:pPr>
    </w:p>
    <w:p w:rsidR="00AA702E" w:rsidRPr="00F765FD" w:rsidRDefault="00AA702E" w:rsidP="00F765FD">
      <w:pPr>
        <w:pStyle w:val="Testonotaapidipagina"/>
        <w:ind w:left="284" w:right="566"/>
        <w:jc w:val="both"/>
        <w:rPr>
          <w:i/>
          <w:sz w:val="22"/>
          <w:szCs w:val="22"/>
        </w:rPr>
      </w:pPr>
    </w:p>
  </w:footnote>
  <w:footnote w:id="2">
    <w:p w:rsidR="00B643D5" w:rsidRPr="00B643D5" w:rsidRDefault="00B643D5" w:rsidP="00B643D5">
      <w:pPr>
        <w:pStyle w:val="Testonotaapidipagina"/>
        <w:rPr>
          <w:sz w:val="22"/>
          <w:szCs w:val="22"/>
        </w:rPr>
      </w:pPr>
      <w:r w:rsidRPr="00B643D5">
        <w:rPr>
          <w:rStyle w:val="Rimandonotaapidipagina"/>
          <w:sz w:val="22"/>
          <w:szCs w:val="22"/>
        </w:rPr>
        <w:footnoteRef/>
      </w:r>
      <w:r w:rsidRPr="00B643D5">
        <w:rPr>
          <w:sz w:val="22"/>
          <w:szCs w:val="22"/>
        </w:rPr>
        <w:t xml:space="preserve"> </w:t>
      </w:r>
      <w:r w:rsidRPr="007562D3">
        <w:rPr>
          <w:b/>
          <w:sz w:val="22"/>
          <w:szCs w:val="22"/>
        </w:rPr>
        <w:t>L’art. 24, comma 1 del d</w:t>
      </w:r>
      <w:r w:rsidR="00241D42" w:rsidRPr="007562D3">
        <w:rPr>
          <w:b/>
          <w:sz w:val="22"/>
          <w:szCs w:val="22"/>
        </w:rPr>
        <w:t>pr 313/2002 come modificato dal d</w:t>
      </w:r>
      <w:r w:rsidRPr="007562D3">
        <w:rPr>
          <w:b/>
          <w:sz w:val="22"/>
          <w:szCs w:val="22"/>
        </w:rPr>
        <w:t>.lgs. n. 122 del 2018 dispone</w:t>
      </w:r>
      <w:r w:rsidRPr="00B643D5">
        <w:rPr>
          <w:sz w:val="22"/>
          <w:szCs w:val="22"/>
        </w:rPr>
        <w:t>:</w:t>
      </w:r>
    </w:p>
    <w:p w:rsidR="00B643D5" w:rsidRPr="00B643D5" w:rsidRDefault="00B643D5" w:rsidP="00B643D5">
      <w:pPr>
        <w:pStyle w:val="Testonotaapidipagina"/>
        <w:ind w:left="284" w:right="566"/>
        <w:jc w:val="both"/>
        <w:rPr>
          <w:i/>
          <w:sz w:val="22"/>
          <w:szCs w:val="22"/>
        </w:rPr>
      </w:pPr>
      <w:r w:rsidRPr="00B643D5">
        <w:rPr>
          <w:i/>
          <w:sz w:val="22"/>
          <w:szCs w:val="22"/>
        </w:rPr>
        <w:t>“1. Nel certificato sono riportate le iscrizioni esistenti nel casellario giudiziale ad eccezione di quelle relative:</w:t>
      </w:r>
    </w:p>
    <w:p w:rsidR="00B643D5" w:rsidRPr="00B643D5" w:rsidRDefault="00B643D5" w:rsidP="00B643D5">
      <w:pPr>
        <w:pStyle w:val="Testonotaapidipagina"/>
        <w:ind w:left="284" w:right="566"/>
        <w:jc w:val="both"/>
        <w:rPr>
          <w:i/>
          <w:sz w:val="22"/>
          <w:szCs w:val="22"/>
        </w:rPr>
      </w:pPr>
      <w:r w:rsidRPr="00B643D5">
        <w:rPr>
          <w:i/>
          <w:sz w:val="22"/>
          <w:szCs w:val="22"/>
        </w:rPr>
        <w:t xml:space="preserve">    a) alle condanne delle quali è stato ordinato che non si faccia menzione nel certificato a norma dell'articolo 175 del codice penale, purché il beneficio non sia stato revocato;</w:t>
      </w:r>
    </w:p>
    <w:p w:rsidR="00B643D5" w:rsidRPr="00B643D5" w:rsidRDefault="00B643D5" w:rsidP="00B643D5">
      <w:pPr>
        <w:pStyle w:val="Testonotaapidipagina"/>
        <w:ind w:left="284" w:right="566"/>
        <w:jc w:val="both"/>
        <w:rPr>
          <w:i/>
          <w:sz w:val="22"/>
          <w:szCs w:val="22"/>
        </w:rPr>
      </w:pPr>
      <w:r w:rsidRPr="00B643D5">
        <w:rPr>
          <w:i/>
          <w:sz w:val="22"/>
          <w:szCs w:val="22"/>
        </w:rPr>
        <w:t xml:space="preserve">    b) alle condanne per contravvenzioni punibili con la sola ammenda e alle condanne per reati estinti a norma dell'articolo 167, primo comma, del codice penale;</w:t>
      </w:r>
    </w:p>
    <w:p w:rsidR="00B643D5" w:rsidRPr="00B643D5" w:rsidRDefault="00B643D5" w:rsidP="00B643D5">
      <w:pPr>
        <w:pStyle w:val="Testonotaapidipagina"/>
        <w:ind w:left="284" w:right="566"/>
        <w:jc w:val="both"/>
        <w:rPr>
          <w:i/>
          <w:sz w:val="22"/>
          <w:szCs w:val="22"/>
        </w:rPr>
      </w:pPr>
      <w:r w:rsidRPr="00B643D5">
        <w:rPr>
          <w:i/>
          <w:sz w:val="22"/>
          <w:szCs w:val="22"/>
        </w:rPr>
        <w:t xml:space="preserve">    c) alle condanne per i reati per i quali si è verificata la causa speciale di estinzione prevista dall'articolo 556 del codice penale;</w:t>
      </w:r>
    </w:p>
    <w:p w:rsidR="00B643D5" w:rsidRPr="00B643D5" w:rsidRDefault="00B643D5" w:rsidP="00B643D5">
      <w:pPr>
        <w:pStyle w:val="Testonotaapidipagina"/>
        <w:ind w:left="284" w:right="566"/>
        <w:jc w:val="both"/>
        <w:rPr>
          <w:i/>
          <w:sz w:val="22"/>
          <w:szCs w:val="22"/>
        </w:rPr>
      </w:pPr>
      <w:r w:rsidRPr="00B643D5">
        <w:rPr>
          <w:i/>
          <w:sz w:val="22"/>
          <w:szCs w:val="22"/>
        </w:rPr>
        <w:t xml:space="preserve">    d) alle condanne in relazione alle quali è stata definitivamente applicata l'amnistia </w:t>
      </w:r>
      <w:proofErr w:type="gramStart"/>
      <w:r w:rsidRPr="00B643D5">
        <w:rPr>
          <w:i/>
          <w:sz w:val="22"/>
          <w:szCs w:val="22"/>
        </w:rPr>
        <w:t>e</w:t>
      </w:r>
      <w:proofErr w:type="gramEnd"/>
      <w:r w:rsidRPr="00B643D5">
        <w:rPr>
          <w:i/>
          <w:sz w:val="22"/>
          <w:szCs w:val="22"/>
        </w:rPr>
        <w:t xml:space="preserve"> a quelle per le quali è stata dichiarata la riabilitazione, senza che questa sia stata in seguito revocata;</w:t>
      </w:r>
    </w:p>
    <w:p w:rsidR="00B643D5" w:rsidRPr="00B643D5" w:rsidRDefault="00B643D5" w:rsidP="00B643D5">
      <w:pPr>
        <w:pStyle w:val="Testonotaapidipagina"/>
        <w:ind w:left="284" w:right="566"/>
        <w:jc w:val="both"/>
        <w:rPr>
          <w:i/>
          <w:sz w:val="22"/>
          <w:szCs w:val="22"/>
        </w:rPr>
      </w:pPr>
      <w:r w:rsidRPr="00B643D5">
        <w:rPr>
          <w:i/>
          <w:sz w:val="22"/>
          <w:szCs w:val="22"/>
        </w:rPr>
        <w:t xml:space="preserve">    e) ai provvedimenti previsti dall'articolo 445 del codice di procedura penale, quando la pena irrogata non superi i due anni di pena detentiva soli o congiunti a pena pecuniaria, e ai decreti penali;</w:t>
      </w:r>
    </w:p>
    <w:p w:rsidR="00B643D5" w:rsidRPr="00B643D5" w:rsidRDefault="00B643D5" w:rsidP="00B643D5">
      <w:pPr>
        <w:pStyle w:val="Testonotaapidipagina"/>
        <w:ind w:left="284" w:right="566"/>
        <w:jc w:val="both"/>
        <w:rPr>
          <w:i/>
          <w:sz w:val="22"/>
          <w:szCs w:val="22"/>
        </w:rPr>
      </w:pPr>
      <w:r w:rsidRPr="00B643D5">
        <w:rPr>
          <w:i/>
          <w:sz w:val="22"/>
          <w:szCs w:val="22"/>
        </w:rPr>
        <w:t xml:space="preserve">    (lettera così modificata dall'art. 4 del d.lgs. n. 122 del 2018)</w:t>
      </w:r>
    </w:p>
    <w:p w:rsidR="00B643D5" w:rsidRPr="00B643D5" w:rsidRDefault="00B643D5" w:rsidP="00B643D5">
      <w:pPr>
        <w:pStyle w:val="Testonotaapidipagina"/>
        <w:ind w:left="284" w:right="566"/>
        <w:jc w:val="both"/>
        <w:rPr>
          <w:i/>
          <w:sz w:val="22"/>
          <w:szCs w:val="22"/>
        </w:rPr>
      </w:pPr>
      <w:r w:rsidRPr="00B643D5">
        <w:rPr>
          <w:i/>
          <w:sz w:val="22"/>
          <w:szCs w:val="22"/>
        </w:rPr>
        <w:t xml:space="preserve">    f) alle condanne per fatti che la legge ha cessato di considerare come reati, quando la relativa iscrizione non è stata eliminata;</w:t>
      </w:r>
    </w:p>
    <w:p w:rsidR="00B643D5" w:rsidRPr="00B643D5" w:rsidRDefault="00B643D5" w:rsidP="00B643D5">
      <w:pPr>
        <w:pStyle w:val="Testonotaapidipagina"/>
        <w:ind w:left="284" w:right="566"/>
        <w:jc w:val="both"/>
        <w:rPr>
          <w:i/>
          <w:sz w:val="22"/>
          <w:szCs w:val="22"/>
        </w:rPr>
      </w:pPr>
      <w:r w:rsidRPr="00B643D5">
        <w:rPr>
          <w:i/>
          <w:sz w:val="22"/>
          <w:szCs w:val="22"/>
        </w:rPr>
        <w:t xml:space="preserve">    f-bis) ai provvedimenti giudiziari che hanno dichiarato la non punibilità ai sensi dell'articolo 131-bis del codice penale, quando la relativa iscrizione non è stata eliminata;</w:t>
      </w:r>
    </w:p>
    <w:p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28 del 2015)</w:t>
      </w:r>
    </w:p>
    <w:p w:rsidR="00B643D5" w:rsidRPr="00B643D5" w:rsidRDefault="00B643D5" w:rsidP="00B643D5">
      <w:pPr>
        <w:pStyle w:val="Testonotaapidipagina"/>
        <w:ind w:left="284" w:right="566"/>
        <w:jc w:val="both"/>
        <w:rPr>
          <w:i/>
          <w:sz w:val="22"/>
          <w:szCs w:val="22"/>
        </w:rPr>
      </w:pPr>
      <w:r w:rsidRPr="00B643D5">
        <w:rPr>
          <w:i/>
          <w:sz w:val="22"/>
          <w:szCs w:val="22"/>
        </w:rPr>
        <w:t xml:space="preserve">    g) ai provvedimenti riguardanti misure di sicurezza conseguenti a sentenze di proscioglimento o di non luogo a procedere, quando le misure sono state revocate;</w:t>
      </w:r>
    </w:p>
    <w:p w:rsidR="00B643D5" w:rsidRPr="00B643D5" w:rsidRDefault="00B643D5" w:rsidP="00B643D5">
      <w:pPr>
        <w:pStyle w:val="Testonotaapidipagina"/>
        <w:ind w:left="284" w:right="566"/>
        <w:jc w:val="both"/>
        <w:rPr>
          <w:i/>
          <w:sz w:val="22"/>
          <w:szCs w:val="22"/>
        </w:rPr>
      </w:pPr>
      <w:r w:rsidRPr="00B643D5">
        <w:rPr>
          <w:i/>
          <w:sz w:val="22"/>
          <w:szCs w:val="22"/>
        </w:rPr>
        <w:t xml:space="preserve">    h) ai provvedimenti che riguardano l'applicazione delle misure di prevenzione della sorveglianza speciale semplice o con divieto o obbligo di soggiorno;</w:t>
      </w:r>
    </w:p>
    <w:p w:rsidR="00B643D5" w:rsidRPr="00B643D5" w:rsidRDefault="00B643D5" w:rsidP="00B643D5">
      <w:pPr>
        <w:pStyle w:val="Testonotaapidipagina"/>
        <w:ind w:left="284" w:right="566"/>
        <w:jc w:val="both"/>
        <w:rPr>
          <w:i/>
          <w:sz w:val="22"/>
          <w:szCs w:val="22"/>
        </w:rPr>
      </w:pPr>
      <w:r w:rsidRPr="00B643D5">
        <w:rPr>
          <w:i/>
          <w:sz w:val="22"/>
          <w:szCs w:val="22"/>
        </w:rPr>
        <w:t xml:space="preserve">    i) ai provvedimenti giudiziari emessi dal giudice di pace;</w:t>
      </w:r>
    </w:p>
    <w:p w:rsidR="00B643D5" w:rsidRPr="00B643D5" w:rsidRDefault="00B643D5" w:rsidP="00B643D5">
      <w:pPr>
        <w:pStyle w:val="Testonotaapidipagina"/>
        <w:ind w:left="284" w:right="566"/>
        <w:jc w:val="both"/>
        <w:rPr>
          <w:i/>
          <w:sz w:val="22"/>
          <w:szCs w:val="22"/>
        </w:rPr>
      </w:pPr>
      <w:r w:rsidRPr="00B643D5">
        <w:rPr>
          <w:i/>
          <w:sz w:val="22"/>
          <w:szCs w:val="22"/>
        </w:rPr>
        <w:t xml:space="preserve">    l) ai provvedimenti giudiziari relativi ai reati di competenza del giudice di pace emessi da un giudice diverso, limitatamente alle iscrizioni concernenti questi reati;</w:t>
      </w:r>
    </w:p>
    <w:p w:rsidR="00B643D5" w:rsidRPr="00B643D5" w:rsidRDefault="00B643D5" w:rsidP="00B643D5">
      <w:pPr>
        <w:pStyle w:val="Testonotaapidipagina"/>
        <w:ind w:left="284" w:right="566"/>
        <w:jc w:val="both"/>
        <w:rPr>
          <w:i/>
          <w:sz w:val="22"/>
          <w:szCs w:val="22"/>
        </w:rPr>
      </w:pPr>
      <w:r w:rsidRPr="00B643D5">
        <w:rPr>
          <w:i/>
          <w:sz w:val="22"/>
          <w:szCs w:val="22"/>
        </w:rPr>
        <w:t xml:space="preserve">    m) ai provvedimenti di interdizione, di inabilitazione e relativi all'amministrazione di sostegno, quando esse sono state revocate;</w:t>
      </w:r>
    </w:p>
    <w:p w:rsidR="00B643D5" w:rsidRPr="00B643D5" w:rsidRDefault="00B643D5" w:rsidP="00B643D5">
      <w:pPr>
        <w:pStyle w:val="Testonotaapidipagina"/>
        <w:ind w:left="284" w:right="566"/>
        <w:jc w:val="both"/>
        <w:rPr>
          <w:i/>
          <w:sz w:val="22"/>
          <w:szCs w:val="22"/>
        </w:rPr>
      </w:pPr>
      <w:r w:rsidRPr="00B643D5">
        <w:rPr>
          <w:i/>
          <w:sz w:val="22"/>
          <w:szCs w:val="22"/>
        </w:rPr>
        <w:t xml:space="preserve">    m-bis) ai provvedimenti che ai sensi dell'articolo 464-quater del codice di procedura penale dispongono la sospensione del procedimento con messa alla prova;</w:t>
      </w:r>
    </w:p>
    <w:p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122 del 2018)</w:t>
      </w:r>
    </w:p>
    <w:p w:rsidR="00B643D5" w:rsidRPr="00B643D5" w:rsidRDefault="00B643D5" w:rsidP="00B643D5">
      <w:pPr>
        <w:pStyle w:val="Testonotaapidipagina"/>
        <w:ind w:left="284" w:right="566"/>
        <w:jc w:val="both"/>
        <w:rPr>
          <w:i/>
          <w:sz w:val="22"/>
          <w:szCs w:val="22"/>
        </w:rPr>
      </w:pPr>
      <w:r w:rsidRPr="00B643D5">
        <w:rPr>
          <w:i/>
          <w:sz w:val="22"/>
          <w:szCs w:val="22"/>
        </w:rPr>
        <w:t xml:space="preserve">    m-ter) alle sentenze che ai sensi dell'articolo 464-septies del codice di procedura penale dichiarano estinto il reato per esito </w:t>
      </w:r>
      <w:r w:rsidR="00397F15">
        <w:rPr>
          <w:i/>
          <w:sz w:val="22"/>
          <w:szCs w:val="22"/>
        </w:rPr>
        <w:t>positivo della messa alla prova.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3B33"/>
    <w:multiLevelType w:val="hybridMultilevel"/>
    <w:tmpl w:val="ACB07D74"/>
    <w:lvl w:ilvl="0" w:tplc="68029E8E">
      <w:start w:val="1"/>
      <w:numFmt w:val="lowerLetter"/>
      <w:lvlText w:val="%1)"/>
      <w:lvlJc w:val="left"/>
      <w:pPr>
        <w:ind w:left="786" w:hanging="360"/>
      </w:pPr>
      <w:rPr>
        <w:rFonts w:cs="Times New Roman"/>
        <w:strike w:val="0"/>
      </w:rPr>
    </w:lvl>
    <w:lvl w:ilvl="1" w:tplc="04100019">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 w15:restartNumberingAfterBreak="0">
    <w:nsid w:val="4BC61F23"/>
    <w:multiLevelType w:val="hybridMultilevel"/>
    <w:tmpl w:val="55B202A0"/>
    <w:lvl w:ilvl="0" w:tplc="0410000F">
      <w:start w:val="1"/>
      <w:numFmt w:val="decimal"/>
      <w:lvlText w:val="%1."/>
      <w:lvlJc w:val="left"/>
      <w:pPr>
        <w:ind w:left="1325" w:hanging="360"/>
      </w:pPr>
      <w:rPr>
        <w:rFonts w:cs="Times New Roman"/>
      </w:rPr>
    </w:lvl>
    <w:lvl w:ilvl="1" w:tplc="04100019" w:tentative="1">
      <w:start w:val="1"/>
      <w:numFmt w:val="lowerLetter"/>
      <w:lvlText w:val="%2."/>
      <w:lvlJc w:val="left"/>
      <w:pPr>
        <w:ind w:left="2045" w:hanging="360"/>
      </w:pPr>
      <w:rPr>
        <w:rFonts w:cs="Times New Roman"/>
      </w:rPr>
    </w:lvl>
    <w:lvl w:ilvl="2" w:tplc="0410001B" w:tentative="1">
      <w:start w:val="1"/>
      <w:numFmt w:val="lowerRoman"/>
      <w:lvlText w:val="%3."/>
      <w:lvlJc w:val="right"/>
      <w:pPr>
        <w:ind w:left="2765" w:hanging="180"/>
      </w:pPr>
      <w:rPr>
        <w:rFonts w:cs="Times New Roman"/>
      </w:rPr>
    </w:lvl>
    <w:lvl w:ilvl="3" w:tplc="0410000F" w:tentative="1">
      <w:start w:val="1"/>
      <w:numFmt w:val="decimal"/>
      <w:lvlText w:val="%4."/>
      <w:lvlJc w:val="left"/>
      <w:pPr>
        <w:ind w:left="3485" w:hanging="360"/>
      </w:pPr>
      <w:rPr>
        <w:rFonts w:cs="Times New Roman"/>
      </w:rPr>
    </w:lvl>
    <w:lvl w:ilvl="4" w:tplc="04100019" w:tentative="1">
      <w:start w:val="1"/>
      <w:numFmt w:val="lowerLetter"/>
      <w:lvlText w:val="%5."/>
      <w:lvlJc w:val="left"/>
      <w:pPr>
        <w:ind w:left="4205" w:hanging="360"/>
      </w:pPr>
      <w:rPr>
        <w:rFonts w:cs="Times New Roman"/>
      </w:rPr>
    </w:lvl>
    <w:lvl w:ilvl="5" w:tplc="0410001B" w:tentative="1">
      <w:start w:val="1"/>
      <w:numFmt w:val="lowerRoman"/>
      <w:lvlText w:val="%6."/>
      <w:lvlJc w:val="right"/>
      <w:pPr>
        <w:ind w:left="4925" w:hanging="180"/>
      </w:pPr>
      <w:rPr>
        <w:rFonts w:cs="Times New Roman"/>
      </w:rPr>
    </w:lvl>
    <w:lvl w:ilvl="6" w:tplc="0410000F" w:tentative="1">
      <w:start w:val="1"/>
      <w:numFmt w:val="decimal"/>
      <w:lvlText w:val="%7."/>
      <w:lvlJc w:val="left"/>
      <w:pPr>
        <w:ind w:left="5645" w:hanging="360"/>
      </w:pPr>
      <w:rPr>
        <w:rFonts w:cs="Times New Roman"/>
      </w:rPr>
    </w:lvl>
    <w:lvl w:ilvl="7" w:tplc="04100019" w:tentative="1">
      <w:start w:val="1"/>
      <w:numFmt w:val="lowerLetter"/>
      <w:lvlText w:val="%8."/>
      <w:lvlJc w:val="left"/>
      <w:pPr>
        <w:ind w:left="6365" w:hanging="360"/>
      </w:pPr>
      <w:rPr>
        <w:rFonts w:cs="Times New Roman"/>
      </w:rPr>
    </w:lvl>
    <w:lvl w:ilvl="8" w:tplc="0410001B" w:tentative="1">
      <w:start w:val="1"/>
      <w:numFmt w:val="lowerRoman"/>
      <w:lvlText w:val="%9."/>
      <w:lvlJc w:val="right"/>
      <w:pPr>
        <w:ind w:left="7085" w:hanging="180"/>
      </w:pPr>
      <w:rPr>
        <w:rFonts w:cs="Times New Roman"/>
      </w:rPr>
    </w:lvl>
  </w:abstractNum>
  <w:abstractNum w:abstractNumId="2" w15:restartNumberingAfterBreak="0">
    <w:nsid w:val="4F1C24BB"/>
    <w:multiLevelType w:val="hybridMultilevel"/>
    <w:tmpl w:val="B732B002"/>
    <w:lvl w:ilvl="0" w:tplc="E3EEAAEC">
      <w:start w:val="1"/>
      <w:numFmt w:val="decimal"/>
      <w:lvlText w:val="%1."/>
      <w:lvlJc w:val="left"/>
      <w:pPr>
        <w:tabs>
          <w:tab w:val="num" w:pos="965"/>
        </w:tabs>
        <w:ind w:left="965" w:hanging="360"/>
      </w:pPr>
      <w:rPr>
        <w:rFonts w:cs="Times New Roman" w:hint="default"/>
      </w:rPr>
    </w:lvl>
    <w:lvl w:ilvl="1" w:tplc="04100019" w:tentative="1">
      <w:start w:val="1"/>
      <w:numFmt w:val="lowerLetter"/>
      <w:lvlText w:val="%2."/>
      <w:lvlJc w:val="left"/>
      <w:pPr>
        <w:tabs>
          <w:tab w:val="num" w:pos="1685"/>
        </w:tabs>
        <w:ind w:left="1685" w:hanging="360"/>
      </w:pPr>
      <w:rPr>
        <w:rFonts w:cs="Times New Roman"/>
      </w:rPr>
    </w:lvl>
    <w:lvl w:ilvl="2" w:tplc="0410001B" w:tentative="1">
      <w:start w:val="1"/>
      <w:numFmt w:val="lowerRoman"/>
      <w:lvlText w:val="%3."/>
      <w:lvlJc w:val="right"/>
      <w:pPr>
        <w:tabs>
          <w:tab w:val="num" w:pos="2405"/>
        </w:tabs>
        <w:ind w:left="2405" w:hanging="180"/>
      </w:pPr>
      <w:rPr>
        <w:rFonts w:cs="Times New Roman"/>
      </w:rPr>
    </w:lvl>
    <w:lvl w:ilvl="3" w:tplc="0410000F" w:tentative="1">
      <w:start w:val="1"/>
      <w:numFmt w:val="decimal"/>
      <w:lvlText w:val="%4."/>
      <w:lvlJc w:val="left"/>
      <w:pPr>
        <w:tabs>
          <w:tab w:val="num" w:pos="3125"/>
        </w:tabs>
        <w:ind w:left="3125" w:hanging="360"/>
      </w:pPr>
      <w:rPr>
        <w:rFonts w:cs="Times New Roman"/>
      </w:rPr>
    </w:lvl>
    <w:lvl w:ilvl="4" w:tplc="04100019" w:tentative="1">
      <w:start w:val="1"/>
      <w:numFmt w:val="lowerLetter"/>
      <w:lvlText w:val="%5."/>
      <w:lvlJc w:val="left"/>
      <w:pPr>
        <w:tabs>
          <w:tab w:val="num" w:pos="3845"/>
        </w:tabs>
        <w:ind w:left="3845" w:hanging="360"/>
      </w:pPr>
      <w:rPr>
        <w:rFonts w:cs="Times New Roman"/>
      </w:rPr>
    </w:lvl>
    <w:lvl w:ilvl="5" w:tplc="0410001B" w:tentative="1">
      <w:start w:val="1"/>
      <w:numFmt w:val="lowerRoman"/>
      <w:lvlText w:val="%6."/>
      <w:lvlJc w:val="right"/>
      <w:pPr>
        <w:tabs>
          <w:tab w:val="num" w:pos="4565"/>
        </w:tabs>
        <w:ind w:left="4565" w:hanging="180"/>
      </w:pPr>
      <w:rPr>
        <w:rFonts w:cs="Times New Roman"/>
      </w:rPr>
    </w:lvl>
    <w:lvl w:ilvl="6" w:tplc="0410000F" w:tentative="1">
      <w:start w:val="1"/>
      <w:numFmt w:val="decimal"/>
      <w:lvlText w:val="%7."/>
      <w:lvlJc w:val="left"/>
      <w:pPr>
        <w:tabs>
          <w:tab w:val="num" w:pos="5285"/>
        </w:tabs>
        <w:ind w:left="5285" w:hanging="360"/>
      </w:pPr>
      <w:rPr>
        <w:rFonts w:cs="Times New Roman"/>
      </w:rPr>
    </w:lvl>
    <w:lvl w:ilvl="7" w:tplc="04100019" w:tentative="1">
      <w:start w:val="1"/>
      <w:numFmt w:val="lowerLetter"/>
      <w:lvlText w:val="%8."/>
      <w:lvlJc w:val="left"/>
      <w:pPr>
        <w:tabs>
          <w:tab w:val="num" w:pos="6005"/>
        </w:tabs>
        <w:ind w:left="6005" w:hanging="360"/>
      </w:pPr>
      <w:rPr>
        <w:rFonts w:cs="Times New Roman"/>
      </w:rPr>
    </w:lvl>
    <w:lvl w:ilvl="8" w:tplc="0410001B" w:tentative="1">
      <w:start w:val="1"/>
      <w:numFmt w:val="lowerRoman"/>
      <w:lvlText w:val="%9."/>
      <w:lvlJc w:val="right"/>
      <w:pPr>
        <w:tabs>
          <w:tab w:val="num" w:pos="6725"/>
        </w:tabs>
        <w:ind w:left="6725" w:hanging="180"/>
      </w:pPr>
      <w:rPr>
        <w:rFonts w:cs="Times New Roman"/>
      </w:rPr>
    </w:lvl>
  </w:abstractNum>
  <w:abstractNum w:abstractNumId="3" w15:restartNumberingAfterBreak="0">
    <w:nsid w:val="57CD2C6F"/>
    <w:multiLevelType w:val="multilevel"/>
    <w:tmpl w:val="B1AE0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0"/>
    <w:lvlOverride w:ilvl="1">
      <w:lvl w:ilvl="1" w:tplc="04100019">
        <w:start w:val="1"/>
        <w:numFmt w:val="lowerRoman"/>
        <w:lvlText w:val="%2."/>
        <w:lvlJc w:val="right"/>
        <w:pPr>
          <w:ind w:left="1866" w:hanging="360"/>
        </w:p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8"/>
    <w:rsid w:val="000025EF"/>
    <w:rsid w:val="00004F38"/>
    <w:rsid w:val="0004063E"/>
    <w:rsid w:val="000456BC"/>
    <w:rsid w:val="00052454"/>
    <w:rsid w:val="00054F15"/>
    <w:rsid w:val="00063A9A"/>
    <w:rsid w:val="0008073B"/>
    <w:rsid w:val="0009102C"/>
    <w:rsid w:val="000B26E7"/>
    <w:rsid w:val="000D4614"/>
    <w:rsid w:val="000E24D9"/>
    <w:rsid w:val="000F64E4"/>
    <w:rsid w:val="00113580"/>
    <w:rsid w:val="00157FA6"/>
    <w:rsid w:val="00161D72"/>
    <w:rsid w:val="00167F92"/>
    <w:rsid w:val="001A5418"/>
    <w:rsid w:val="001D0C14"/>
    <w:rsid w:val="001E579F"/>
    <w:rsid w:val="00201422"/>
    <w:rsid w:val="002021B2"/>
    <w:rsid w:val="00241D42"/>
    <w:rsid w:val="00244553"/>
    <w:rsid w:val="002475A0"/>
    <w:rsid w:val="002504C5"/>
    <w:rsid w:val="002925C8"/>
    <w:rsid w:val="00292923"/>
    <w:rsid w:val="002C53DF"/>
    <w:rsid w:val="002D32C7"/>
    <w:rsid w:val="002D36BD"/>
    <w:rsid w:val="0031638C"/>
    <w:rsid w:val="00335EE1"/>
    <w:rsid w:val="003479CA"/>
    <w:rsid w:val="00375BCF"/>
    <w:rsid w:val="0038781E"/>
    <w:rsid w:val="00390775"/>
    <w:rsid w:val="00397F15"/>
    <w:rsid w:val="003A2011"/>
    <w:rsid w:val="003A44B3"/>
    <w:rsid w:val="003C32FE"/>
    <w:rsid w:val="003E3634"/>
    <w:rsid w:val="003E3761"/>
    <w:rsid w:val="003E75B7"/>
    <w:rsid w:val="004124C0"/>
    <w:rsid w:val="00417C8B"/>
    <w:rsid w:val="00444798"/>
    <w:rsid w:val="00444FC1"/>
    <w:rsid w:val="004472F9"/>
    <w:rsid w:val="0046493A"/>
    <w:rsid w:val="004D130E"/>
    <w:rsid w:val="004D17B6"/>
    <w:rsid w:val="004E60D2"/>
    <w:rsid w:val="005505D6"/>
    <w:rsid w:val="00582905"/>
    <w:rsid w:val="00587B63"/>
    <w:rsid w:val="005B5813"/>
    <w:rsid w:val="005C3057"/>
    <w:rsid w:val="005C58A4"/>
    <w:rsid w:val="005C639A"/>
    <w:rsid w:val="005D3909"/>
    <w:rsid w:val="005E3D8E"/>
    <w:rsid w:val="005E4A33"/>
    <w:rsid w:val="00603EF6"/>
    <w:rsid w:val="00605E78"/>
    <w:rsid w:val="006109F9"/>
    <w:rsid w:val="006138E8"/>
    <w:rsid w:val="0067287D"/>
    <w:rsid w:val="006D5780"/>
    <w:rsid w:val="006E68ED"/>
    <w:rsid w:val="007444C8"/>
    <w:rsid w:val="007448D7"/>
    <w:rsid w:val="007562D3"/>
    <w:rsid w:val="00790550"/>
    <w:rsid w:val="007B0349"/>
    <w:rsid w:val="007C6922"/>
    <w:rsid w:val="007E1A89"/>
    <w:rsid w:val="0081305F"/>
    <w:rsid w:val="00820487"/>
    <w:rsid w:val="00844461"/>
    <w:rsid w:val="00847D2B"/>
    <w:rsid w:val="008A026E"/>
    <w:rsid w:val="008B26C0"/>
    <w:rsid w:val="008F4288"/>
    <w:rsid w:val="00913EAA"/>
    <w:rsid w:val="009226CC"/>
    <w:rsid w:val="00933633"/>
    <w:rsid w:val="009437F1"/>
    <w:rsid w:val="009460B4"/>
    <w:rsid w:val="00951193"/>
    <w:rsid w:val="00963FF2"/>
    <w:rsid w:val="00964AA1"/>
    <w:rsid w:val="009930D3"/>
    <w:rsid w:val="009B1F32"/>
    <w:rsid w:val="009F297F"/>
    <w:rsid w:val="009F3DDE"/>
    <w:rsid w:val="00A15D09"/>
    <w:rsid w:val="00A21B76"/>
    <w:rsid w:val="00A52978"/>
    <w:rsid w:val="00A55AF8"/>
    <w:rsid w:val="00A83879"/>
    <w:rsid w:val="00A95F9F"/>
    <w:rsid w:val="00AA30FC"/>
    <w:rsid w:val="00AA702E"/>
    <w:rsid w:val="00AC765D"/>
    <w:rsid w:val="00AD1554"/>
    <w:rsid w:val="00AD5D0C"/>
    <w:rsid w:val="00B02406"/>
    <w:rsid w:val="00B0490B"/>
    <w:rsid w:val="00B11A5B"/>
    <w:rsid w:val="00B6252C"/>
    <w:rsid w:val="00B643D5"/>
    <w:rsid w:val="00B9117A"/>
    <w:rsid w:val="00BA48A5"/>
    <w:rsid w:val="00BC554F"/>
    <w:rsid w:val="00BE0023"/>
    <w:rsid w:val="00BE61CD"/>
    <w:rsid w:val="00C135E3"/>
    <w:rsid w:val="00C13938"/>
    <w:rsid w:val="00C16B96"/>
    <w:rsid w:val="00C35630"/>
    <w:rsid w:val="00C532CA"/>
    <w:rsid w:val="00C93365"/>
    <w:rsid w:val="00C93465"/>
    <w:rsid w:val="00C96A25"/>
    <w:rsid w:val="00CA61D1"/>
    <w:rsid w:val="00CD2796"/>
    <w:rsid w:val="00CE593D"/>
    <w:rsid w:val="00CE64CD"/>
    <w:rsid w:val="00D14E69"/>
    <w:rsid w:val="00D51183"/>
    <w:rsid w:val="00D52E31"/>
    <w:rsid w:val="00D76861"/>
    <w:rsid w:val="00D815DE"/>
    <w:rsid w:val="00DA5298"/>
    <w:rsid w:val="00DB79E0"/>
    <w:rsid w:val="00DC4B8C"/>
    <w:rsid w:val="00DF5568"/>
    <w:rsid w:val="00E11EBD"/>
    <w:rsid w:val="00E31087"/>
    <w:rsid w:val="00E32CDC"/>
    <w:rsid w:val="00E85CE8"/>
    <w:rsid w:val="00EA5BB3"/>
    <w:rsid w:val="00EE223D"/>
    <w:rsid w:val="00EF7237"/>
    <w:rsid w:val="00F00E59"/>
    <w:rsid w:val="00F33A1E"/>
    <w:rsid w:val="00F765FD"/>
    <w:rsid w:val="00F83937"/>
    <w:rsid w:val="00F86BDD"/>
    <w:rsid w:val="00FA6BA1"/>
    <w:rsid w:val="00FB797C"/>
    <w:rsid w:val="00FC29F3"/>
    <w:rsid w:val="00FC761F"/>
    <w:rsid w:val="00FE4B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62C81"/>
  <w15:docId w15:val="{32688E64-6D76-43C9-B26D-1D697EE3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lang w:eastAsia="it-IT"/>
    </w:rPr>
  </w:style>
  <w:style w:type="paragraph" w:styleId="Titolo2">
    <w:name w:val="heading 2"/>
    <w:basedOn w:val="Normale"/>
    <w:next w:val="Normale"/>
    <w:link w:val="Titolo2Carattere"/>
    <w:uiPriority w:val="99"/>
    <w:qFormat/>
    <w:locked/>
    <w:pPr>
      <w:keepNext/>
      <w:spacing w:before="240" w:after="60"/>
      <w:outlineLvl w:val="1"/>
    </w:pPr>
    <w:rPr>
      <w:rFonts w:ascii="Arial" w:eastAsia="Calibri" w:hAnsi="Arial"/>
      <w:b/>
      <w:i/>
      <w:sz w:val="28"/>
      <w:szCs w:val="20"/>
    </w:rPr>
  </w:style>
  <w:style w:type="paragraph" w:styleId="Titolo3">
    <w:name w:val="heading 3"/>
    <w:basedOn w:val="Normale"/>
    <w:next w:val="Normale"/>
    <w:link w:val="Titolo3Carattere"/>
    <w:semiHidden/>
    <w:unhideWhenUsed/>
    <w:qFormat/>
    <w:locked/>
    <w:rsid w:val="00CE593D"/>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link w:val="Testonotaapidipagina"/>
    <w:uiPriority w:val="99"/>
    <w:locked/>
    <w:rPr>
      <w:rFonts w:ascii="Times New Roman" w:hAnsi="Times New Roman" w:cs="Times New Roman"/>
      <w:sz w:val="20"/>
      <w:szCs w:val="20"/>
      <w:lang w:eastAsia="it-IT"/>
    </w:rPr>
  </w:style>
  <w:style w:type="character" w:styleId="Rimandonotaapidipagina">
    <w:name w:val="footnote reference"/>
    <w:uiPriority w:val="99"/>
    <w:rPr>
      <w:rFonts w:cs="Times New Roman"/>
      <w:vertAlign w:val="superscript"/>
    </w:rPr>
  </w:style>
  <w:style w:type="paragraph" w:customStyle="1" w:styleId="Normale1">
    <w:name w:val="Normale1"/>
    <w:basedOn w:val="Normale"/>
    <w:uiPriority w:val="99"/>
    <w:pPr>
      <w:spacing w:before="120"/>
      <w:jc w:val="both"/>
    </w:pPr>
  </w:style>
  <w:style w:type="paragraph" w:styleId="Paragrafoelenco">
    <w:name w:val="List Paragraph"/>
    <w:basedOn w:val="Normale"/>
    <w:uiPriority w:val="99"/>
    <w:qFormat/>
    <w:pPr>
      <w:ind w:left="720"/>
      <w:contextualSpacing/>
    </w:pPr>
  </w:style>
  <w:style w:type="paragraph" w:customStyle="1" w:styleId="Normale2">
    <w:name w:val="Normale2"/>
    <w:basedOn w:val="Normale"/>
    <w:uiPriority w:val="99"/>
    <w:pPr>
      <w:spacing w:before="120"/>
      <w:jc w:val="both"/>
    </w:pPr>
  </w:style>
  <w:style w:type="character" w:customStyle="1" w:styleId="Titolo2Carattere">
    <w:name w:val="Titolo 2 Carattere"/>
    <w:link w:val="Titolo2"/>
    <w:uiPriority w:val="99"/>
    <w:locked/>
    <w:rPr>
      <w:rFonts w:ascii="Arial" w:hAnsi="Arial"/>
      <w:b/>
      <w:i/>
      <w:sz w:val="28"/>
      <w:lang w:val="it-IT" w:eastAsia="it-IT"/>
    </w:rPr>
  </w:style>
  <w:style w:type="numbering" w:customStyle="1" w:styleId="Stile31">
    <w:name w:val="Stile31"/>
    <w:rsid w:val="00DC4B8C"/>
  </w:style>
  <w:style w:type="character" w:styleId="Collegamentoipertestuale">
    <w:name w:val="Hyperlink"/>
    <w:basedOn w:val="Carpredefinitoparagrafo"/>
    <w:uiPriority w:val="99"/>
    <w:semiHidden/>
    <w:unhideWhenUsed/>
    <w:rsid w:val="00C93365"/>
    <w:rPr>
      <w:color w:val="0000FF"/>
      <w:u w:val="single"/>
    </w:rPr>
  </w:style>
  <w:style w:type="paragraph" w:styleId="Testofumetto">
    <w:name w:val="Balloon Text"/>
    <w:basedOn w:val="Normale"/>
    <w:link w:val="TestofumettoCarattere"/>
    <w:uiPriority w:val="99"/>
    <w:semiHidden/>
    <w:unhideWhenUsed/>
    <w:rsid w:val="005B5813"/>
    <w:rPr>
      <w:sz w:val="18"/>
      <w:szCs w:val="18"/>
    </w:rPr>
  </w:style>
  <w:style w:type="character" w:customStyle="1" w:styleId="TestofumettoCarattere">
    <w:name w:val="Testo fumetto Carattere"/>
    <w:basedOn w:val="Carpredefinitoparagrafo"/>
    <w:link w:val="Testofumetto"/>
    <w:uiPriority w:val="99"/>
    <w:semiHidden/>
    <w:rsid w:val="005B5813"/>
    <w:rPr>
      <w:rFonts w:ascii="Times New Roman" w:eastAsia="Times New Roman" w:hAnsi="Times New Roman"/>
      <w:sz w:val="18"/>
      <w:szCs w:val="18"/>
      <w:lang w:eastAsia="it-IT"/>
    </w:rPr>
  </w:style>
  <w:style w:type="paragraph" w:styleId="NormaleWeb">
    <w:name w:val="Normal (Web)"/>
    <w:basedOn w:val="Normale"/>
    <w:uiPriority w:val="99"/>
    <w:unhideWhenUsed/>
    <w:rsid w:val="00AD1554"/>
    <w:pPr>
      <w:spacing w:before="100" w:beforeAutospacing="1" w:after="100" w:afterAutospacing="1"/>
    </w:pPr>
    <w:rPr>
      <w:lang w:eastAsia="zh-CN"/>
    </w:rPr>
  </w:style>
  <w:style w:type="character" w:customStyle="1" w:styleId="Titolo3Carattere">
    <w:name w:val="Titolo 3 Carattere"/>
    <w:basedOn w:val="Carpredefinitoparagrafo"/>
    <w:link w:val="Titolo3"/>
    <w:semiHidden/>
    <w:rsid w:val="00CE593D"/>
    <w:rPr>
      <w:rFonts w:asciiTheme="majorHAnsi" w:eastAsiaTheme="majorEastAsia" w:hAnsiTheme="majorHAnsi" w:cstheme="majorBidi"/>
      <w:color w:val="243F60" w:themeColor="accent1" w:themeShade="7F"/>
      <w:sz w:val="24"/>
      <w:szCs w:val="24"/>
      <w:lang w:eastAsia="it-IT"/>
    </w:rPr>
  </w:style>
  <w:style w:type="character" w:customStyle="1" w:styleId="linkgazzetta">
    <w:name w:val="link_gazzetta"/>
    <w:basedOn w:val="Carpredefinitoparagrafo"/>
    <w:rsid w:val="00CE593D"/>
  </w:style>
  <w:style w:type="paragraph" w:styleId="PreformattatoHTML">
    <w:name w:val="HTML Preformatted"/>
    <w:basedOn w:val="Normale"/>
    <w:link w:val="PreformattatoHTMLCarattere"/>
    <w:uiPriority w:val="99"/>
    <w:semiHidden/>
    <w:unhideWhenUsed/>
    <w:rsid w:val="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7F92"/>
    <w:rPr>
      <w:rFonts w:ascii="Courier New" w:eastAsia="Times New Roman" w:hAnsi="Courier New" w:cs="Courier New"/>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93674">
      <w:bodyDiv w:val="1"/>
      <w:marLeft w:val="0"/>
      <w:marRight w:val="0"/>
      <w:marTop w:val="0"/>
      <w:marBottom w:val="0"/>
      <w:divBdr>
        <w:top w:val="none" w:sz="0" w:space="0" w:color="auto"/>
        <w:left w:val="none" w:sz="0" w:space="0" w:color="auto"/>
        <w:bottom w:val="none" w:sz="0" w:space="0" w:color="auto"/>
        <w:right w:val="none" w:sz="0" w:space="0" w:color="auto"/>
      </w:divBdr>
    </w:div>
    <w:div w:id="82401014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58">
          <w:marLeft w:val="0"/>
          <w:marRight w:val="0"/>
          <w:marTop w:val="0"/>
          <w:marBottom w:val="0"/>
          <w:divBdr>
            <w:top w:val="none" w:sz="0" w:space="0" w:color="auto"/>
            <w:left w:val="none" w:sz="0" w:space="0" w:color="auto"/>
            <w:bottom w:val="none" w:sz="0" w:space="0" w:color="auto"/>
            <w:right w:val="none" w:sz="0" w:space="0" w:color="auto"/>
          </w:divBdr>
          <w:divsChild>
            <w:div w:id="2022514175">
              <w:marLeft w:val="0"/>
              <w:marRight w:val="0"/>
              <w:marTop w:val="0"/>
              <w:marBottom w:val="0"/>
              <w:divBdr>
                <w:top w:val="none" w:sz="0" w:space="0" w:color="auto"/>
                <w:left w:val="none" w:sz="0" w:space="0" w:color="auto"/>
                <w:bottom w:val="none" w:sz="0" w:space="0" w:color="auto"/>
                <w:right w:val="none" w:sz="0" w:space="0" w:color="auto"/>
              </w:divBdr>
              <w:divsChild>
                <w:div w:id="1436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1888">
      <w:bodyDiv w:val="1"/>
      <w:marLeft w:val="0"/>
      <w:marRight w:val="0"/>
      <w:marTop w:val="0"/>
      <w:marBottom w:val="0"/>
      <w:divBdr>
        <w:top w:val="none" w:sz="0" w:space="0" w:color="auto"/>
        <w:left w:val="none" w:sz="0" w:space="0" w:color="auto"/>
        <w:bottom w:val="none" w:sz="0" w:space="0" w:color="auto"/>
        <w:right w:val="none" w:sz="0" w:space="0" w:color="auto"/>
      </w:divBdr>
      <w:divsChild>
        <w:div w:id="1027102114">
          <w:marLeft w:val="0"/>
          <w:marRight w:val="0"/>
          <w:marTop w:val="0"/>
          <w:marBottom w:val="0"/>
          <w:divBdr>
            <w:top w:val="none" w:sz="0" w:space="0" w:color="auto"/>
            <w:left w:val="none" w:sz="0" w:space="0" w:color="auto"/>
            <w:bottom w:val="none" w:sz="0" w:space="0" w:color="auto"/>
            <w:right w:val="none" w:sz="0" w:space="0" w:color="auto"/>
          </w:divBdr>
          <w:divsChild>
            <w:div w:id="240218799">
              <w:marLeft w:val="0"/>
              <w:marRight w:val="0"/>
              <w:marTop w:val="0"/>
              <w:marBottom w:val="0"/>
              <w:divBdr>
                <w:top w:val="none" w:sz="0" w:space="0" w:color="auto"/>
                <w:left w:val="none" w:sz="0" w:space="0" w:color="auto"/>
                <w:bottom w:val="none" w:sz="0" w:space="0" w:color="auto"/>
                <w:right w:val="none" w:sz="0" w:space="0" w:color="auto"/>
              </w:divBdr>
              <w:divsChild>
                <w:div w:id="1956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4291">
      <w:bodyDiv w:val="1"/>
      <w:marLeft w:val="0"/>
      <w:marRight w:val="0"/>
      <w:marTop w:val="0"/>
      <w:marBottom w:val="0"/>
      <w:divBdr>
        <w:top w:val="none" w:sz="0" w:space="0" w:color="auto"/>
        <w:left w:val="none" w:sz="0" w:space="0" w:color="auto"/>
        <w:bottom w:val="none" w:sz="0" w:space="0" w:color="auto"/>
        <w:right w:val="none" w:sz="0" w:space="0" w:color="auto"/>
      </w:divBdr>
      <w:divsChild>
        <w:div w:id="945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4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349979">
      <w:bodyDiv w:val="1"/>
      <w:marLeft w:val="0"/>
      <w:marRight w:val="0"/>
      <w:marTop w:val="0"/>
      <w:marBottom w:val="0"/>
      <w:divBdr>
        <w:top w:val="none" w:sz="0" w:space="0" w:color="auto"/>
        <w:left w:val="none" w:sz="0" w:space="0" w:color="auto"/>
        <w:bottom w:val="none" w:sz="0" w:space="0" w:color="auto"/>
        <w:right w:val="none" w:sz="0" w:space="0" w:color="auto"/>
      </w:divBdr>
      <w:divsChild>
        <w:div w:id="1423380126">
          <w:marLeft w:val="0"/>
          <w:marRight w:val="0"/>
          <w:marTop w:val="0"/>
          <w:marBottom w:val="0"/>
          <w:divBdr>
            <w:top w:val="none" w:sz="0" w:space="0" w:color="auto"/>
            <w:left w:val="none" w:sz="0" w:space="0" w:color="auto"/>
            <w:bottom w:val="none" w:sz="0" w:space="0" w:color="auto"/>
            <w:right w:val="none" w:sz="0" w:space="0" w:color="auto"/>
          </w:divBdr>
          <w:divsChild>
            <w:div w:id="879899687">
              <w:marLeft w:val="0"/>
              <w:marRight w:val="0"/>
              <w:marTop w:val="0"/>
              <w:marBottom w:val="0"/>
              <w:divBdr>
                <w:top w:val="none" w:sz="0" w:space="0" w:color="auto"/>
                <w:left w:val="none" w:sz="0" w:space="0" w:color="auto"/>
                <w:bottom w:val="none" w:sz="0" w:space="0" w:color="auto"/>
                <w:right w:val="none" w:sz="0" w:space="0" w:color="auto"/>
              </w:divBdr>
              <w:divsChild>
                <w:div w:id="1637762755">
                  <w:marLeft w:val="0"/>
                  <w:marRight w:val="0"/>
                  <w:marTop w:val="0"/>
                  <w:marBottom w:val="0"/>
                  <w:divBdr>
                    <w:top w:val="none" w:sz="0" w:space="0" w:color="auto"/>
                    <w:left w:val="none" w:sz="0" w:space="0" w:color="auto"/>
                    <w:bottom w:val="none" w:sz="0" w:space="0" w:color="auto"/>
                    <w:right w:val="none" w:sz="0" w:space="0" w:color="auto"/>
                  </w:divBdr>
                  <w:divsChild>
                    <w:div w:id="1381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7952">
      <w:bodyDiv w:val="1"/>
      <w:marLeft w:val="0"/>
      <w:marRight w:val="0"/>
      <w:marTop w:val="0"/>
      <w:marBottom w:val="0"/>
      <w:divBdr>
        <w:top w:val="none" w:sz="0" w:space="0" w:color="auto"/>
        <w:left w:val="none" w:sz="0" w:space="0" w:color="auto"/>
        <w:bottom w:val="none" w:sz="0" w:space="0" w:color="auto"/>
        <w:right w:val="none" w:sz="0" w:space="0" w:color="auto"/>
      </w:divBdr>
    </w:div>
    <w:div w:id="1585142133">
      <w:bodyDiv w:val="1"/>
      <w:marLeft w:val="0"/>
      <w:marRight w:val="0"/>
      <w:marTop w:val="0"/>
      <w:marBottom w:val="0"/>
      <w:divBdr>
        <w:top w:val="none" w:sz="0" w:space="0" w:color="auto"/>
        <w:left w:val="none" w:sz="0" w:space="0" w:color="auto"/>
        <w:bottom w:val="none" w:sz="0" w:space="0" w:color="auto"/>
        <w:right w:val="none" w:sz="0" w:space="0" w:color="auto"/>
      </w:divBdr>
    </w:div>
    <w:div w:id="1823347083">
      <w:bodyDiv w:val="1"/>
      <w:marLeft w:val="0"/>
      <w:marRight w:val="0"/>
      <w:marTop w:val="0"/>
      <w:marBottom w:val="0"/>
      <w:divBdr>
        <w:top w:val="none" w:sz="0" w:space="0" w:color="auto"/>
        <w:left w:val="none" w:sz="0" w:space="0" w:color="auto"/>
        <w:bottom w:val="none" w:sz="0" w:space="0" w:color="auto"/>
        <w:right w:val="none" w:sz="0" w:space="0" w:color="auto"/>
      </w:divBdr>
      <w:divsChild>
        <w:div w:id="1545096801">
          <w:marLeft w:val="0"/>
          <w:marRight w:val="0"/>
          <w:marTop w:val="0"/>
          <w:marBottom w:val="0"/>
          <w:divBdr>
            <w:top w:val="none" w:sz="0" w:space="0" w:color="auto"/>
            <w:left w:val="none" w:sz="0" w:space="0" w:color="auto"/>
            <w:bottom w:val="none" w:sz="0" w:space="0" w:color="auto"/>
            <w:right w:val="none" w:sz="0" w:space="0" w:color="auto"/>
          </w:divBdr>
          <w:divsChild>
            <w:div w:id="541593797">
              <w:marLeft w:val="0"/>
              <w:marRight w:val="0"/>
              <w:marTop w:val="0"/>
              <w:marBottom w:val="0"/>
              <w:divBdr>
                <w:top w:val="none" w:sz="0" w:space="0" w:color="auto"/>
                <w:left w:val="none" w:sz="0" w:space="0" w:color="auto"/>
                <w:bottom w:val="none" w:sz="0" w:space="0" w:color="auto"/>
                <w:right w:val="none" w:sz="0" w:space="0" w:color="auto"/>
              </w:divBdr>
              <w:divsChild>
                <w:div w:id="1559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2854">
      <w:bodyDiv w:val="1"/>
      <w:marLeft w:val="0"/>
      <w:marRight w:val="0"/>
      <w:marTop w:val="0"/>
      <w:marBottom w:val="0"/>
      <w:divBdr>
        <w:top w:val="none" w:sz="0" w:space="0" w:color="auto"/>
        <w:left w:val="none" w:sz="0" w:space="0" w:color="auto"/>
        <w:bottom w:val="none" w:sz="0" w:space="0" w:color="auto"/>
        <w:right w:val="none" w:sz="0" w:space="0" w:color="auto"/>
      </w:divBdr>
    </w:div>
    <w:div w:id="1936982836">
      <w:bodyDiv w:val="1"/>
      <w:marLeft w:val="0"/>
      <w:marRight w:val="0"/>
      <w:marTop w:val="0"/>
      <w:marBottom w:val="0"/>
      <w:divBdr>
        <w:top w:val="none" w:sz="0" w:space="0" w:color="auto"/>
        <w:left w:val="none" w:sz="0" w:space="0" w:color="auto"/>
        <w:bottom w:val="none" w:sz="0" w:space="0" w:color="auto"/>
        <w:right w:val="none" w:sz="0" w:space="0" w:color="auto"/>
      </w:divBdr>
      <w:divsChild>
        <w:div w:id="106144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57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18/10/26/250/so/50/s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osettiegatti.eu/info/norme/statali/2015_dm_30_01_DURC.htm" TargetMode="External"/><Relationship Id="rId1" Type="http://schemas.openxmlformats.org/officeDocument/2006/relationships/hyperlink" Target="https://www.bosettiegatti.eu/info/norme/statali/2008_00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7859-37B1-40D5-BE6F-D45A505C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819</Words>
  <Characters>4672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Bertolino</dc:creator>
  <cp:keywords/>
  <dc:description/>
  <cp:lastModifiedBy>ASUS</cp:lastModifiedBy>
  <cp:revision>65</cp:revision>
  <dcterms:created xsi:type="dcterms:W3CDTF">2019-04-20T07:30:00Z</dcterms:created>
  <dcterms:modified xsi:type="dcterms:W3CDTF">2022-01-25T10:47:00Z</dcterms:modified>
</cp:coreProperties>
</file>